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关于《工程造价咨询企业信用评价管理办法》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修订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说明</w:t>
      </w:r>
    </w:p>
    <w:p>
      <w:pPr>
        <w:pStyle w:val="2"/>
        <w:rPr>
          <w:rFonts w:hint="eastAsia"/>
        </w:rPr>
      </w:pPr>
    </w:p>
    <w:p>
      <w:pPr>
        <w:pStyle w:val="4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修订背景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《工程造价咨询企业信用评价管理办法》（中价协〔2019〕64号）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月实施以来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对建设工程造价咨询行业信用体系，规范工程造价咨询企业从业行为起了重要作用。随着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行政审批制度改革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，行业形势的变革，64号文的部分条款指标已无法满足市场需要。为促进工程造价咨询行业健康、持续发展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中价协对64号文进行了修订。说明如下。</w:t>
      </w:r>
    </w:p>
    <w:p>
      <w:pPr>
        <w:pStyle w:val="4"/>
        <w:numPr>
          <w:ilvl w:val="0"/>
          <w:numId w:val="1"/>
        </w:numPr>
        <w:bidi w:val="0"/>
        <w:ind w:left="-24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修订原则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一是充分发挥市场的主体作用。完善各项条款与指标，使其更为满足市场需求。二是科学的调整各项指标设置及权重，更准确的体现出参与信用评价的造价咨询企业综合实力，使评价结果更为科学合理。</w:t>
      </w:r>
    </w:p>
    <w:p>
      <w:pPr>
        <w:pStyle w:val="4"/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主要修改内容</w:t>
      </w:r>
    </w:p>
    <w:p>
      <w:pPr>
        <w:pStyle w:val="5"/>
        <w:numPr>
          <w:ilvl w:val="0"/>
          <w:numId w:val="2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优化动态核查制度。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为了使信用评价更加灵活准确，新增动态和静态指标，可以让企业信用分数得到及时更新。新增实地核查条款，在企业取得信用等级后，各级行业协会对企业进行实地核查，加强事中事后监管，实时准确的反映企业信用状态。</w:t>
      </w:r>
    </w:p>
    <w:p>
      <w:pPr>
        <w:pStyle w:val="5"/>
        <w:numPr>
          <w:ilvl w:val="0"/>
          <w:numId w:val="2"/>
        </w:numPr>
        <w:bidi w:val="0"/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增加营业收入及人员指标权重。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为更科学直观反映企业整体实力，增加了一二级造价工程师数量、职工学历以及企业业务收入的分值。</w:t>
      </w:r>
    </w:p>
    <w:p>
      <w:pPr>
        <w:pStyle w:val="5"/>
        <w:numPr>
          <w:ilvl w:val="0"/>
          <w:numId w:val="2"/>
        </w:numPr>
        <w:bidi w:val="0"/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调整部分不适宜指标及分值。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随着市场不断变化，部分指标及分值权重已不符合行业现状，无法客观准确反映企业情况，此次修订降低了此部分指标权重。</w:t>
      </w:r>
    </w:p>
    <w:p>
      <w:pPr>
        <w:pStyle w:val="5"/>
        <w:numPr>
          <w:ilvl w:val="0"/>
          <w:numId w:val="2"/>
        </w:numPr>
        <w:bidi w:val="0"/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提高部分良好行为指标分值。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为鼓励企业高质量发展，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贯彻落实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国家有关文件精神，推广应用职业保险制度，增强工程造价咨询企业的风险抵御能力，有效保障委托方合法权益，提高</w:t>
      </w:r>
      <w:r>
        <w:rPr>
          <w:rFonts w:hint="eastAsia"/>
          <w:lang w:val="en-US" w:eastAsia="zh-CN"/>
        </w:rPr>
        <w:t>投保职业保险条款等良好行为分值。</w:t>
      </w:r>
    </w:p>
    <w:p>
      <w:pPr>
        <w:pStyle w:val="5"/>
        <w:numPr>
          <w:ilvl w:val="0"/>
          <w:numId w:val="2"/>
        </w:numPr>
        <w:bidi w:val="0"/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取消了原各省级自评价分值。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为使各省把握评价标准一致，全国评价工作更为协调和规范，此次修订取消了各省自评价分值。</w:t>
      </w:r>
    </w:p>
    <w:p>
      <w:pPr>
        <w:pStyle w:val="5"/>
        <w:numPr>
          <w:ilvl w:val="0"/>
          <w:numId w:val="2"/>
        </w:numPr>
        <w:bidi w:val="0"/>
        <w:ind w:left="0" w:leftChars="0" w:firstLine="64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删除工程造价咨询企业资质相关内容。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随着持续深入推进“放管服”改革，工程造价咨询企业资质取消后，64号文关于企业资质的相应条款已不适用。此次修改删除了包含企业资质内容的相应条款。</w:t>
      </w:r>
    </w:p>
    <w:p>
      <w:pPr>
        <w:pStyle w:val="5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（七）其他调整内容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其中包括增加评价</w:t>
      </w:r>
      <w:bookmarkStart w:id="0" w:name="_GoBack"/>
      <w:bookmarkEnd w:id="0"/>
      <w:r>
        <w:rPr>
          <w:rFonts w:hint="eastAsia"/>
          <w:lang w:val="en-US" w:eastAsia="zh-CN"/>
        </w:rPr>
        <w:t>有效期为三年、各项评分指标分数的调整、增加信用修复条款、以及规范文字表述，具体可见修订后的《工程造价咨询企业信用评价管理办法》。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554FA5"/>
    <w:multiLevelType w:val="singleLevel"/>
    <w:tmpl w:val="2B554FA5"/>
    <w:lvl w:ilvl="0" w:tentative="0">
      <w:start w:val="1"/>
      <w:numFmt w:val="chineseCounting"/>
      <w:suff w:val="nothing"/>
      <w:lvlText w:val="%1、"/>
      <w:lvlJc w:val="left"/>
      <w:pPr>
        <w:ind w:left="-240"/>
      </w:pPr>
      <w:rPr>
        <w:rFonts w:hint="eastAsia"/>
      </w:rPr>
    </w:lvl>
  </w:abstractNum>
  <w:abstractNum w:abstractNumId="1">
    <w:nsid w:val="6C5E0119"/>
    <w:multiLevelType w:val="singleLevel"/>
    <w:tmpl w:val="6C5E011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2E5421"/>
    <w:rsid w:val="0CF20C5A"/>
    <w:rsid w:val="0DA86300"/>
    <w:rsid w:val="103F2320"/>
    <w:rsid w:val="115C68B1"/>
    <w:rsid w:val="1D2A1691"/>
    <w:rsid w:val="2A4D438F"/>
    <w:rsid w:val="33142323"/>
    <w:rsid w:val="36A123DC"/>
    <w:rsid w:val="48BA7328"/>
    <w:rsid w:val="4A0B1FA6"/>
    <w:rsid w:val="6D541388"/>
    <w:rsid w:val="717C3C02"/>
    <w:rsid w:val="71AA26EB"/>
    <w:rsid w:val="77740AD7"/>
    <w:rsid w:val="7BB8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8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9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黑体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eastAsia="楷体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"/>
    <w:basedOn w:val="1"/>
    <w:qFormat/>
    <w:uiPriority w:val="0"/>
    <w:pPr>
      <w:spacing w:after="120" w:afterLines="0" w:line="480" w:lineRule="auto"/>
      <w:ind w:left="200" w:leftChars="200"/>
    </w:pPr>
  </w:style>
  <w:style w:type="character" w:customStyle="1" w:styleId="8">
    <w:name w:val="标题 1 Char"/>
    <w:link w:val="3"/>
    <w:qFormat/>
    <w:uiPriority w:val="0"/>
    <w:rPr>
      <w:rFonts w:eastAsia="仿宋"/>
      <w:b/>
      <w:kern w:val="44"/>
      <w:sz w:val="44"/>
    </w:rPr>
  </w:style>
  <w:style w:type="character" w:customStyle="1" w:styleId="9">
    <w:name w:val="标题 2 Char"/>
    <w:link w:val="4"/>
    <w:qFormat/>
    <w:uiPriority w:val="0"/>
    <w:rPr>
      <w:rFonts w:ascii="Arial" w:hAnsi="Arial" w:eastAsia="黑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2022-01-10T02:58:00Z</dcterms:created>
  <dc:creator>frank</dc:creator>
  <cp:lastModifiedBy>lenovo</cp:lastModifiedBy>
  <cp:lastPrinted>2022-01-13T06:18:00Z</cp:lastPrinted>
  <dcterms:modified xsi:type="dcterms:W3CDTF">2022-02-11T03:48:28Z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EC2643CD19C040DBBDA39C38579B51CC</vt:lpwstr>
  </property>
</Properties>
</file>