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华文仿宋" w:hAnsi="华文仿宋" w:eastAsia="华文仿宋" w:cs="华文仿宋"/>
          <w:b/>
          <w:bCs/>
          <w:color w:val="auto"/>
          <w:sz w:val="44"/>
          <w:szCs w:val="44"/>
          <w:lang w:val="en-US" w:eastAsia="zh-CN"/>
        </w:rPr>
      </w:pPr>
      <w:bookmarkStart w:id="0" w:name="_GoBack"/>
      <w:r>
        <w:rPr>
          <w:rFonts w:hint="eastAsia" w:ascii="华文仿宋" w:hAnsi="华文仿宋" w:eastAsia="华文仿宋" w:cs="华文仿宋"/>
          <w:b/>
          <w:bCs/>
          <w:color w:val="auto"/>
          <w:sz w:val="44"/>
          <w:szCs w:val="44"/>
          <w:lang w:val="en-US" w:eastAsia="zh-CN"/>
        </w:rPr>
        <w:t>《30强企业和先进企业评价申报资料表》</w:t>
      </w:r>
    </w:p>
    <w:p>
      <w:pPr>
        <w:widowControl/>
        <w:numPr>
          <w:ilvl w:val="0"/>
          <w:numId w:val="0"/>
        </w:numPr>
        <w:jc w:val="center"/>
        <w:rPr>
          <w:rFonts w:hint="eastAsia" w:ascii="华文仿宋" w:hAnsi="华文仿宋" w:eastAsia="华文仿宋" w:cs="华文仿宋"/>
          <w:b/>
          <w:bCs/>
          <w:color w:val="auto"/>
          <w:sz w:val="44"/>
          <w:szCs w:val="44"/>
          <w:lang w:val="en-US" w:eastAsia="zh-CN"/>
        </w:rPr>
      </w:pPr>
      <w:r>
        <w:rPr>
          <w:rFonts w:hint="eastAsia" w:ascii="华文仿宋" w:hAnsi="华文仿宋" w:eastAsia="华文仿宋" w:cs="华文仿宋"/>
          <w:b/>
          <w:bCs/>
          <w:color w:val="auto"/>
          <w:sz w:val="44"/>
          <w:szCs w:val="44"/>
          <w:lang w:val="en-US" w:eastAsia="zh-CN"/>
        </w:rPr>
        <w:t>解读</w:t>
      </w:r>
    </w:p>
    <w:bookmarkEnd w:id="0"/>
    <w:p>
      <w:pPr>
        <w:widowControl/>
        <w:numPr>
          <w:ilvl w:val="0"/>
          <w:numId w:val="0"/>
        </w:numPr>
        <w:jc w:val="left"/>
        <w:rPr>
          <w:rFonts w:hint="eastAsia" w:ascii="华文仿宋" w:hAnsi="华文仿宋" w:eastAsia="华文仿宋" w:cs="华文仿宋"/>
          <w:b/>
          <w:bCs/>
          <w:color w:val="auto"/>
          <w:sz w:val="44"/>
          <w:szCs w:val="44"/>
          <w:lang w:val="en-US" w:eastAsia="zh-CN"/>
        </w:rPr>
      </w:pP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各位领导、各企业申报工作代表：</w:t>
      </w:r>
    </w:p>
    <w:p>
      <w:pPr>
        <w:widowControl/>
        <w:numPr>
          <w:ilvl w:val="0"/>
          <w:numId w:val="0"/>
        </w:numPr>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大家好！</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很荣幸，受协会安排，由我来和大家共同学习交流《陕西省工程造价咨询30强企业和先进企业评价暂行办法》之附件3《陕西省工程造价咨询30强企业和先进企业评价申报资料表》的填报与使用方法。今年是《评强评先暂行办法》发布实施后的首评，今天这种学习交流就显得尤为重要。</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如果说《标准》是对《办法》的进一步诠释和量化的话，那么，《申报表》就是对《办法》和《标准》的“兵棋推演”与“纸上实操”。</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《申报表》是与《标准》对应设计的，填写《申报表》要以《标准》中“计分办法”的每一个得分点作引线，《标准》的每一项要求，都能也必须在《申报表》中得到体现。   </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填报《申报表》的过程，既是申报企业对照《标准》自我衡量自我评价的过程，同时也是发现工作亮点与查找工作不足的过程，亦是彰显企业优势与暴露企业短板的过程。当然了，进而参与评价活动的过程，更是企业之间交流学习相互促进的过程。</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但眼下我们要解决的问题，就是如何填表的问题！</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我想通过下面的讲解力图让大家了解表格要求的本意，顺利完成填报工作，也为后续的评价工作铺平道路，同时减轻相关人员的工作负担。</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讲的不清楚的地方，请大家记录下来，答疑时再进一步交流。如果有讲的错误的地方，请在座领导（彭会长、邓会长）给予纠正。</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《陕西省工程造价咨询30强企业和先进企业评价申报资料表》共由七张表格组成，编号分别为附件3-1到附件3-7。续表是因为正表内容太多装不下而增加的续页。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除附件3-1《综合申请表》外，其余的六张表格，分别对应着《暂行标准》的六大一级指标。表中栏目需填报的内容又分别与该一级指标项下的二级指标及其计分办法中的得分点相对应。</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我在讲解表格时，一般分为三个层次。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第一个层次是“本表说明”——就是每张表格下面所附的说明，说明的内容是要求在填写表格及使用表格时应该特别注意事项，或者随表格一并完成并报送的资料等；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第二层次是“填报内容解析”——主要介绍表格填什么、怎么填的问题；</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第三个层次是“备查资料”——所谓备查资料，就是不一定报送，但企业必须整理准备的，按规定在评价过程中应该接受线上查阅或者现场核查的资料——这也是企业必须尽到的责任与义务。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《暂行标准》中每一个得分点，都应有佐证材料来支撑——这些佐证材料就是我们的备查资料——这也是企业整理备查资料的窍门所在。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值得提醒的是，带有明显竞争性的得分点，一定是要进行现场核查的。</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现在大家先按我所讲的“备查资料”来准备，经过一段实践总结，将来要形成一个比较完整的“备查资料清单”，企业按照清单要求来整理备查资料，这也应该成为“企业数字化管理平台”建设的一个重要组成部分吧。</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我建议大家至少将“备查资料”制作成为一个专门的文件包，里面分门别类地装入佐证资料的电子文本、电子表格、扫描件、截图、照片视频等等各种电子文件。不论是线上查阅还是现场核查，都能方便传输和调用——也为将来的线上评价准备条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本期评价，我们对整套《申报资料表》是要求报送“电子版”的，拷在U盘上、刻在光盘上均可。</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但《综合申请表》是个例外——要求报送与电子版一致的纸质版申请表——因为要求要有法定代表人的签字和申报单位加盖公章。</w:t>
      </w:r>
    </w:p>
    <w:p>
      <w:pPr>
        <w:widowControl/>
        <w:numPr>
          <w:ilvl w:val="0"/>
          <w:numId w:val="0"/>
        </w:numPr>
        <w:jc w:val="left"/>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 xml:space="preserve">    </w:t>
      </w: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A.关于附件3-1 《综合申请表》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一、本表说明：此申请表应先于其他申报资料提交，务请在活动部署后10日内报送评价机构——本表是先行表。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综合申请表》是《申报资料表》的第一张表，用于表明企业参评意愿，填写企业基本信息，同时，确定本企业的企业申报工作代表，并就报送资料的真实性作出承诺——这也是建设信用中国，倡导信任文化的一种体现。</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概况打头就是企业名称，专营工程造价业务的企业好办，就是本企业的名称；兼营工程造价咨询业务的则是指有造价资质对应的、从事造价咨询和“工程建设”招投标工作的这个业务板块的独立企业法人的名称。其余的内容就要紧扣这个企业名称而展开填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2、至于资质有资质管理部门、工商有工商管理部门、会籍有协会会员部，都能查到相关信息。你就如实填写，有证有照就解决了。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企业申报工作代表：按照《评委会企业代表管理规定》，一定是具有注册一级造价工程师职业资格或其他建设类注册一级职业资格的人员；一定是在企业担任中层及以上职务的人员。也就是说，要具有相当的专业素养和一定的组织管理能力——以适应准确理解和有力贯彻《暂行办法》及其标准的要求。</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申报工作代表是一个重要的人事安排，应体现企业响应陕价协“评强评先培育龙头企业，以品牌战略促进行业发展”的长远考量。这个人的业务水平和组织能力以及责任心和主动性，应该与品牌战略的内在要求相匹配，而不是仅仅作为一个传声筒和办事员来任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申报工作代表的本职工作，首先是代表本企业进行资料申报工作；企业申报代表一旦被随机抽选为评价委员会成员——也就是评委时，他就具有了双重身份，即在完成本职工作的同时，还要完成评委会交付的相关工作。作为评委，他将不代表本企业的利益，而是站在公正的立场上，执行一个评委应有的职责。</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1、相关证照的扫描件或者照片。</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2、如果现场核查，只需亮出证照即可。</w:t>
      </w:r>
    </w:p>
    <w:p>
      <w:pPr>
        <w:widowControl/>
        <w:numPr>
          <w:ilvl w:val="0"/>
          <w:numId w:val="0"/>
        </w:numPr>
        <w:jc w:val="left"/>
        <w:rPr>
          <w:rFonts w:hint="eastAsia" w:ascii="华文仿宋" w:hAnsi="华文仿宋" w:eastAsia="华文仿宋" w:cs="华文仿宋"/>
          <w:color w:val="auto"/>
          <w:sz w:val="32"/>
          <w:szCs w:val="32"/>
          <w:lang w:val="en-US" w:eastAsia="zh-CN"/>
        </w:rPr>
      </w:pP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B.关于附件3—2《 评价期党的建设与企业文化状况表》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1.荣誉称号须提供表彰证书复印件；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2.参与执法检查情况，须提供组织单位的证明资料。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这张表是《申报资料表》的第二张表。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（一）党组织名称、建立时间、批准机关：这三个内容其实就一个文件可以关总，即上级党组织批准设立基层党组织的文件。</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（二）党员人数，一定要填写组织关系在本基层组织的党员人数。如果是联合支部，你在填写党员总数的同时，打个括弧，里面填上从事造价业务的党员人数。</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（三）党组织办公场所及文化氛围状况：填写有无固定场所、有无场所布置。有就是有，没有就填没有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（四）党员模范带头作用状况：根据你们自己的判断，填写良好或者一般。</w:t>
      </w:r>
    </w:p>
    <w:p>
      <w:pPr>
        <w:widowControl/>
        <w:numPr>
          <w:ilvl w:val="0"/>
          <w:numId w:val="0"/>
        </w:numPr>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是有得分点的，一定要有备查资料作为佐证的。是否开展党的思想教育，党员模范带头作用是否明显（一要有活动布置文件——比如开展谈心、批评与自我批评等活动等；二要有活动书面总结；三要留有活动痕迹——比如有活动影像、记录、纪要等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（五）“三会一课”制度落实与执行党的规矩、纪律状况：与上一条一样，填写良好或者一般。同样要有备查资料作为佐证。</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（六）以党的基本宗旨和社会主义核心价值观，统领提升企业品牌价值的状况：也与上一条一样，填写良好或者一般。同样要有备查资料作为佐证。</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（七）企业党组织获上级党组织（地市级及以上党组织）授予荣誉称号状况：填写所获得的上级党组织授予的“先进党支部（总支）”、“先进基层党委”或四星及以上星级基层党组织荣誉称号。</w:t>
      </w:r>
    </w:p>
    <w:p>
      <w:pPr>
        <w:widowControl/>
        <w:numPr>
          <w:ilvl w:val="0"/>
          <w:numId w:val="0"/>
        </w:numPr>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这里也有得分点，就要有备查资料作为佐证的——表彰文件、牌匾证书等的照片、扫描件均可。</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（八）企业文化的表现形式与主要内容、员工认同与践行情况：填写良好或者一般。佐证资料要注意收集和积累。</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1、企业制定了成文的、简明扼要的企业文化，有打造企业核心竞争力目标——这里要突出强调</w:t>
      </w:r>
      <w:r>
        <w:rPr>
          <w:rFonts w:hint="eastAsia" w:ascii="华文仿宋" w:hAnsi="华文仿宋" w:eastAsia="华文仿宋" w:cs="华文仿宋"/>
          <w:b/>
          <w:bCs/>
          <w:color w:val="auto"/>
          <w:sz w:val="32"/>
          <w:szCs w:val="32"/>
          <w:lang w:val="en-US" w:eastAsia="zh-CN"/>
        </w:rPr>
        <w:t>“成文”</w:t>
      </w:r>
      <w:r>
        <w:rPr>
          <w:rFonts w:hint="eastAsia" w:ascii="华文仿宋" w:hAnsi="华文仿宋" w:eastAsia="华文仿宋" w:cs="华文仿宋"/>
          <w:color w:val="auto"/>
          <w:sz w:val="32"/>
          <w:szCs w:val="32"/>
          <w:lang w:val="en-US" w:eastAsia="zh-CN"/>
        </w:rPr>
        <w:t>二字。是不是要有相关文件或者有高层会议纪要等。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2、有体现企业文化内涵的标识或企业徽章，实行统一工装——有照片等即可；如果现场核查能够直观的看到。</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3、经常组织企业文化的拓展训练及文体活动，企业文化被员工认同与践行——要有计划有报道有影像资料等。    </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（九）没有成文的企业文化与打造企业核心竞争力目标的，不计分。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（十）企业受表彰情况，这里应该注意，表彰单位——市级（不含县级市）以上（地市、省、部）住建部门和省级以上造价行业协会，而且应该是针对造价咨询活动的表彰。</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不论表彰文件发布时间，只要表彰是针对评价年度以内的事件，即可填报。</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今年是首次评价，只能申报针对2020年度工作给予的表彰。下个评价期，就要申报2021、2022两个年度的事件了。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十一）参与执法检查或自律检查情况这里应该注意，组织单位——省级以上住建部门（含造价管理机构）或省造价协会，执法或自律检查活动名称——应该有组织单位的红头文件——通知文件、总结材料、活动报道等作凭证。这里不分是那块业务，只要是抽了我们的人，即可认定。</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三、备查资料，我把上述内容归纳一下：</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1、党的建设部分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（1）组织机构方面，要有上级党组织批准设立基层党组织的文件。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（2）基层组织党组织活动等，要有布置文件、有书面总结、有活动痕迹——影像、记录、纪要等。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（3）上级党组织授予荣誉称号，要有表彰文件牌匾证书等。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2、企业文化氛围</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（1）打造企业文化及核心竞争力目标，要有“成文”的资料——有文件有高层会议纪要等。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（2）组织企业文化拓展训练及文体活动，要有计划文件、活动报道及影像资料等。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3、企业受表彰情况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要有市级（不含县级市）以上住建部门和省级以上造价行业协会——表彰单位——的表彰文件牌匾证书等。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4、参与执法检查或自律检查情况，</w:t>
      </w: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要有省级以上住建部门（含造价管理机构）或省造价协会——组织单位——的通知文件、总结材料和活动报道等。</w:t>
      </w:r>
    </w:p>
    <w:p>
      <w:pPr>
        <w:widowControl/>
        <w:numPr>
          <w:ilvl w:val="0"/>
          <w:numId w:val="0"/>
        </w:numPr>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C.关于附表3-3《评价期企业人才状况表》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（一）兼具多项资格的专业人士，在相应分项应分别计数，总数只能按一人统计；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（二）企业一级注册造价工程师全部填入，并以住建部门所属的注册管理机构信息为准——就是要与《工程造价咨询统计调查系统》的数据相一致。给这个系统怎么报的，给《申报表》中就怎么填。</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（三）缴纳社会保险情况以社会保险管理机构凭证为准（提供复印件）；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（四）一级注册造价工程师稳岗率，须提供评价期第一年度元月20</w:t>
      </w:r>
      <w:r>
        <w:rPr>
          <w:rFonts w:hint="default"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lang w:val="en-US" w:eastAsia="zh-CN"/>
        </w:rPr>
        <w:t>30日和12月20</w:t>
      </w:r>
      <w:r>
        <w:rPr>
          <w:rFonts w:hint="default"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lang w:val="en-US" w:eastAsia="zh-CN"/>
        </w:rPr>
        <w:t>30日，第二年度12月20</w:t>
      </w:r>
      <w:r>
        <w:rPr>
          <w:rFonts w:hint="default"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lang w:val="en-US" w:eastAsia="zh-CN"/>
        </w:rPr>
        <w:t>30日的注册造价工程师管理系统数据及其证明材料（截图等）。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这同时也应作为一级注册造价工程师的备查资料。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今年是首评，只需要填报2020年度年初和年末的数据。这个数据一定要与企业给《工程造价咨询统计调查系统》上报的数据相一致。</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今后的评价年度，则要按本表说明的要求来办理。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我省的“评强评先”，是实施品牌战略的一项长期的重要的工作，参评企业也应有长期的思想准备与响应安排，从现在开始，从每个细节做起，做好备查资料的收集整理与立档建库工作。</w:t>
      </w:r>
    </w:p>
    <w:p>
      <w:pPr>
        <w:widowControl/>
        <w:numPr>
          <w:ilvl w:val="0"/>
          <w:numId w:val="1"/>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《评价期企业人才状况表》是《申报资料表》的第三张表，由一正两续组成。</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整套表格均是按照正常的评价年度（两年一次）设计的，今年是启动年，所有栏目都只填报2020年度（在“第二年度”档内填写）的数据。</w:t>
      </w:r>
    </w:p>
    <w:p>
      <w:pPr>
        <w:widowControl/>
        <w:numPr>
          <w:ilvl w:val="0"/>
          <w:numId w:val="2"/>
        </w:numPr>
        <w:ind w:left="-10" w:leftChars="0" w:firstLine="640" w:firstLineChars="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企业员工总数，填报参评企业（造价咨询和工程建设招投标业务板块）的员工总数，其他内容也都由此而生发。</w:t>
      </w:r>
    </w:p>
    <w:p>
      <w:pPr>
        <w:widowControl/>
        <w:numPr>
          <w:ilvl w:val="0"/>
          <w:numId w:val="0"/>
        </w:numPr>
        <w:ind w:firstLine="64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的备查资料是要求申报企业准备一份《2020年末企业员工花名册》。花名册可按管理人员、工勤人员、不同专业的技术人员等进行人员分类；除了一般花名册的常规栏目（姓名、性别等身份信息）外，还应该结合评强评先《暂行标准》中关于人才识别特征的要求，将是否高端人才（正高或博士）、是否复合型人才（具有哪两个及以上一级资格）、是否陕价协会员、有无劳动合同、是否交保等等，设置为花名册的必备栏目。</w:t>
      </w:r>
    </w:p>
    <w:p>
      <w:pPr>
        <w:widowControl/>
        <w:numPr>
          <w:ilvl w:val="0"/>
          <w:numId w:val="0"/>
        </w:numPr>
        <w:ind w:firstLine="64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《年末企业员工花名册》将是核算核查与人员、人才相关的评价数据和评价指标的重要依据，请大家不要掉以轻心或马虎从事。</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（二）企业高端人才，指企业引进或自行培养的具有正高级工程师业务技术职称或具有博士学历文凭，且至少具有一项建设类一级注册执业资格的专业技术人员；</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（三）企业复合型人才，指企业引进或自行培养的具有两个及以上建设类一级注册执业资格的人才。</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企业高端人才与复合型人才，必须是与企业签订用工合同，且缴纳社会保险的人员，不得包括临时聘用或外部协作的人员，也就是陕西话说的——是“咱的人”！</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（四）专业人员总数，一人具有多种身份的，只能按一人统计，这里要指出的是，专业人员总数是计算个人会员入会率的重要参数，统计时一定要仔细。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（五）一级注册造价工程师稳岗率，指企业在评价期末一级注册造价工程师总人数占离岗人数加期末总人数的比例。</w:t>
      </w:r>
      <w:r>
        <w:rPr>
          <w:rFonts w:hint="eastAsia" w:ascii="华文仿宋" w:hAnsi="华文仿宋" w:eastAsia="华文仿宋" w:cs="华文仿宋"/>
          <w:color w:val="auto"/>
          <w:sz w:val="32"/>
          <w:szCs w:val="32"/>
          <w:lang w:val="en-US" w:eastAsia="zh-CN"/>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153035</wp:posOffset>
                </wp:positionV>
                <wp:extent cx="6350" cy="1143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6350" cy="11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54.1pt;margin-top:12.05pt;height:0.9pt;width:0.5pt;z-index:251659264;mso-width-relative:page;mso-height-relative:page;" filled="f" stroked="t" coordsize="21600,21600" o:gfxdata="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6Kzna1gAAAAkBAAAPAAAAAAAAAAEAIAAAACIAAABkcnMvZG93bnJl&#10;di54bWxQSwECFAAUAAAACACHTuJAzTWNhv8BAADvAwAADgAAAAAAAAABACAAAAAlAQAAZHJzL2Uy&#10;b0RvYy54bWxQSwUGAAAAAAYABgBZAQAAlgUAAAAA&#10;">
                <v:fill on="f" focussize="0,0"/>
                <v:stroke color="#000000" joinstyle="round"/>
                <v:imagedata o:title=""/>
                <o:lock v:ext="edit" aspectratio="f"/>
              </v:line>
            </w:pict>
          </mc:Fallback>
        </mc:AlternateContent>
      </w:r>
      <w:r>
        <w:rPr>
          <w:rFonts w:hint="eastAsia" w:ascii="华文仿宋" w:hAnsi="华文仿宋" w:eastAsia="华文仿宋" w:cs="华文仿宋"/>
          <w:color w:val="auto"/>
          <w:sz w:val="32"/>
          <w:szCs w:val="32"/>
          <w:lang w:val="en-US" w:eastAsia="zh-CN"/>
        </w:rPr>
        <w:t>计算公式为：一级注册造价工程师稳岗率=期末一级注册造价工程师总人数/(期末一级注册造价工程师总人数+期内离岗一级注册造价工程师人数)</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正常评价年度，以两年的稳岗率平均值，作为参评的稳岗率。</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今年情况特殊，但只要你公司给《工程造价咨询统计调查系统》报送了数据的，就以2000年度的年初与年末的数据为依据，进行核算。</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（六）企业员工交保情况</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企业员工交保情况，应按照个人账户进行统计。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1、如果险种名目变了，则按新的政策口径加以调整。</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2、如果有人离开了，就不再计算该人的交保金额与人数。</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3、如果评价年度内存在企业新増员工交保情况，则用给其交保的月平均数乘以12个月，换算成一个人全年完整的交保金额加以计算。</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（一）《工程造价咨询统计调查系统》中，评价期第一年度元月20</w:t>
      </w:r>
      <w:r>
        <w:rPr>
          <w:rFonts w:hint="default"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lang w:val="en-US" w:eastAsia="zh-CN"/>
        </w:rPr>
        <w:t>30日和12月20</w:t>
      </w:r>
      <w:r>
        <w:rPr>
          <w:rFonts w:hint="default"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lang w:val="en-US" w:eastAsia="zh-CN"/>
        </w:rPr>
        <w:t>30日，第二年度12月20</w:t>
      </w:r>
      <w:r>
        <w:rPr>
          <w:rFonts w:hint="default" w:ascii="华文仿宋" w:hAnsi="华文仿宋" w:eastAsia="华文仿宋" w:cs="华文仿宋"/>
          <w:color w:val="auto"/>
          <w:sz w:val="32"/>
          <w:szCs w:val="32"/>
          <w:lang w:val="en-US" w:eastAsia="zh-CN"/>
        </w:rPr>
        <w:t>~</w:t>
      </w:r>
      <w:r>
        <w:rPr>
          <w:rFonts w:hint="eastAsia" w:ascii="华文仿宋" w:hAnsi="华文仿宋" w:eastAsia="华文仿宋" w:cs="华文仿宋"/>
          <w:color w:val="auto"/>
          <w:sz w:val="32"/>
          <w:szCs w:val="32"/>
          <w:lang w:val="en-US" w:eastAsia="zh-CN"/>
        </w:rPr>
        <w:t>30日的注册造价工程师管理系统数据及其证明材料（截图等）。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（二）高端人才、复合型人才的学位、主要和兼有执业资格等证书的扫描件等。</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（三）社会保险管理机构的交保凭证。</w:t>
      </w:r>
    </w:p>
    <w:p>
      <w:pPr>
        <w:widowControl/>
        <w:numPr>
          <w:ilvl w:val="0"/>
          <w:numId w:val="0"/>
        </w:numPr>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D.关于附表3-3《评价期企业人才状况表（续一）》</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一、填报内容解析</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（一）造价专业人员继续教育合格率，指企业在评价期内一级造价工程师、二级造价工程师参加</w:t>
      </w:r>
      <w:r>
        <w:rPr>
          <w:rFonts w:hint="eastAsia" w:ascii="华文仿宋" w:hAnsi="华文仿宋" w:eastAsia="华文仿宋" w:cs="华文仿宋"/>
          <w:b/>
          <w:bCs/>
          <w:color w:val="auto"/>
          <w:sz w:val="32"/>
          <w:szCs w:val="32"/>
          <w:lang w:val="en-US" w:eastAsia="zh-CN"/>
        </w:rPr>
        <w:t>省造价协会组织</w:t>
      </w:r>
      <w:r>
        <w:rPr>
          <w:rFonts w:hint="eastAsia" w:ascii="华文仿宋" w:hAnsi="华文仿宋" w:eastAsia="华文仿宋" w:cs="华文仿宋"/>
          <w:color w:val="auto"/>
          <w:sz w:val="32"/>
          <w:szCs w:val="32"/>
          <w:lang w:val="en-US" w:eastAsia="zh-CN"/>
        </w:rPr>
        <w:t>的继续教育并取得合格证的人数，占企业应参加人数的比例。</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这里需要注意，是参加</w:t>
      </w:r>
      <w:r>
        <w:rPr>
          <w:rFonts w:hint="eastAsia" w:ascii="华文仿宋" w:hAnsi="华文仿宋" w:eastAsia="华文仿宋" w:cs="华文仿宋"/>
          <w:b/>
          <w:bCs/>
          <w:color w:val="auto"/>
          <w:sz w:val="32"/>
          <w:szCs w:val="32"/>
          <w:lang w:val="en-US" w:eastAsia="zh-CN"/>
        </w:rPr>
        <w:t>省造价协会组织的继续教育</w:t>
      </w:r>
      <w:r>
        <w:rPr>
          <w:rFonts w:hint="eastAsia" w:ascii="华文仿宋" w:hAnsi="华文仿宋" w:eastAsia="华文仿宋" w:cs="华文仿宋"/>
          <w:color w:val="auto"/>
          <w:sz w:val="32"/>
          <w:szCs w:val="32"/>
          <w:lang w:val="en-US" w:eastAsia="zh-CN"/>
        </w:rPr>
        <w:t>。</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但，今年处于转轨变型期，造价人员继续教育合格率不纳入本期评价，所有申报企业一律一致对待。</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组织造价专业人员参加技能竞赛及获奖情况，指企业在评价期内认真组织本企业的一级、二级造价工程师（含造价员）参加省造价协会举办的技能竞赛中的个人与团体赛情况，以及获得团体赛一、二、三等奖与企业参赛专业人员获得个人一、二、三等奖的人数。</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2020年度，协会与省建设工会联合举办了《首次造价人员技能竞赛》，申报企业就按参加这次竞赛的情况填报。</w:t>
      </w:r>
    </w:p>
    <w:p>
      <w:pPr>
        <w:widowControl/>
        <w:numPr>
          <w:ilvl w:val="0"/>
          <w:numId w:val="2"/>
        </w:numPr>
        <w:ind w:left="-10" w:leftChars="0" w:firstLine="640" w:firstLineChars="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备查资料</w:t>
      </w:r>
    </w:p>
    <w:p>
      <w:pPr>
        <w:widowControl/>
        <w:numPr>
          <w:ilvl w:val="0"/>
          <w:numId w:val="0"/>
        </w:numPr>
        <w:ind w:leftChars="200"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1、企业该准备的照常准备，文件、证书扫描立档备查，形成完整的系统资料。</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  2、凡是协会组织的活动，评价时，均以协会职能部门提供的文件记录等为准进行核查。</w:t>
      </w:r>
    </w:p>
    <w:p>
      <w:pPr>
        <w:widowControl/>
        <w:numPr>
          <w:ilvl w:val="0"/>
          <w:numId w:val="0"/>
        </w:numPr>
        <w:ind w:firstLine="641" w:firstLineChars="200"/>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E.关于附表3-3《评价期企业人才状况表（续二）》</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一、本表说明：本表按评价期两个年度分别填写。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这里，我们只是给了一个表式。正常评价年度，同样的内容，分评价期两个年度分别予以填写。</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今年只按2020年度年末情况进行填报，高端人才、复合型人才、一造，均应全部填报，表格不够时，企业自行续页。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这里需要提醒一下的，就是成果项目如何填写。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如果是工程咨询成果项目，选一个最具代表性的项目填报；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如果是研究成果或者专业论文，我们要联系《企业科技进步状况表》中对成果的要求来填写。即：</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1、承担省级以上标准、规范、规程的制定的。</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2、获得省级以上优秀服务成果、优秀工程造价论文的。</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才能作为成果项目填报。</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p>
    <w:p>
      <w:pPr>
        <w:widowControl/>
        <w:numPr>
          <w:ilvl w:val="0"/>
          <w:numId w:val="0"/>
        </w:numPr>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F.关于附表3-4《评价期企业科技进步状况表》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一、本表说明：承担标准（含规范、规程）的编制及获奖情况须提供复印件。</w:t>
      </w:r>
    </w:p>
    <w:p>
      <w:pPr>
        <w:widowControl/>
        <w:numPr>
          <w:ilvl w:val="0"/>
          <w:numId w:val="0"/>
        </w:numPr>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    这是指申报时随表的佐证材料。你应该同时制备电子文档作为备查资料。</w:t>
      </w:r>
    </w:p>
    <w:p>
      <w:pPr>
        <w:widowControl/>
        <w:numPr>
          <w:ilvl w:val="0"/>
          <w:numId w:val="1"/>
        </w:numPr>
        <w:ind w:left="0" w:leftChars="0"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填报内容解析</w:t>
      </w:r>
    </w:p>
    <w:p>
      <w:pPr>
        <w:widowControl/>
        <w:numPr>
          <w:ilvl w:val="0"/>
          <w:numId w:val="0"/>
        </w:numPr>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    《科技进步状况表》是第四张表，由一正一续组成。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（一）企业创新规划与具体研发项目状况：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关注点在于，一是企业有没有创新规划与具体研发项目；二是设没设立企业研发、创新专项费用。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1、是否具有创新规划？就填有还是没有。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2、研发费用实际支出（万元），财务应该设置这么个项目，支出了多少就填多少。</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我们今年只填2020年度实际发生的情况。</w:t>
      </w:r>
    </w:p>
    <w:p>
      <w:pPr>
        <w:widowControl/>
        <w:numPr>
          <w:ilvl w:val="0"/>
          <w:numId w:val="2"/>
        </w:numPr>
        <w:ind w:left="-10" w:leftChars="0" w:firstLine="640" w:firstLineChars="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企业课题研究成果状况，课题名称，有几项填几项，不够的续页；在本企业转化应用或在全省行业内推广应用，应用的情况就填良好或者一般。</w:t>
      </w:r>
    </w:p>
    <w:p>
      <w:pPr>
        <w:widowControl/>
        <w:numPr>
          <w:ilvl w:val="0"/>
          <w:numId w:val="0"/>
        </w:numPr>
        <w:jc w:val="both"/>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    这里要提醒大家注意的是，一项课题成果在其发布并投入使用的当年和延续使用的次年均可以填报。今年是首评，不存在这种情况，下一次评价，就有可能出现这种情况了。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（三）数字化建设</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1、企业研发、应用能对造价咨询业务流程、质量过程控制、价格信息采用、成果文件交付与归档，执业人员业绩考核等进行统一管理的系统软件：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（1）应用的系统软件名称，据实填报。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（2）自主或参与研发，外购系统软件但在应用中只要按本企业需求进行了调整改造的，也算参与研发。</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2、企业是否建立了具有本企业特色的数据平台：填写已建或者未建。</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平台运行状况：填写运行良好或者运行一般。</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只要是满足或部分满足本企业对数据资源需求的（比如初级的建立并运用了材料库、指标库的），大家认为发挥了作用，提高了工作效率和成果质量的就算运行良好。</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3、企业是否建立了以BIM应用为核心的数据应用研发团队？填写已建或者未建。</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这里强调的是建立团队，没有团队不得分！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有设立的文件、人员安排或者人员培训等就算已建。</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BIM应用状况：填写良好或者一般。</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能为本企业的工程计价活动提供技术支撑的就算良好。</w:t>
      </w:r>
    </w:p>
    <w:p>
      <w:pPr>
        <w:widowControl/>
        <w:numPr>
          <w:ilvl w:val="0"/>
          <w:numId w:val="2"/>
        </w:numPr>
        <w:ind w:left="-10" w:leftChars="0" w:firstLine="640" w:firstLineChars="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承担省级以上标准、规范、规程编制，注意这里强调的是省级以上。</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这一部分，只是成果发布的当年可以填报。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1、企业成文的“创新规划”及其所确定的具体研发项目目录等相关文件；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2、企业设立研发、创新专项费用的相关书面规定；支出的财报。</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3、建立数据平台的计划、合同、发票等佐证材料；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4、企业设立BIM应用为核心的数据应用研发团队、任命团队成员的文件；或者人员培训记录。</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5、现场演示相关软件操作系统。</w:t>
      </w:r>
    </w:p>
    <w:p>
      <w:pPr>
        <w:widowControl/>
        <w:numPr>
          <w:ilvl w:val="0"/>
          <w:numId w:val="0"/>
        </w:numPr>
        <w:ind w:firstLine="641" w:firstLineChars="200"/>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G.关于附表3-4《评价期企业科技进步状况表（续）》</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一、本表说明：承担标准（含规范、规程）的编制及获奖情况须提供复印件。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（一）获奖情况（省级以上）</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1、优秀服务成果奖：按照表格要求填写，强调是</w:t>
      </w:r>
      <w:r>
        <w:rPr>
          <w:rFonts w:hint="eastAsia" w:ascii="华文仿宋" w:hAnsi="华文仿宋" w:eastAsia="华文仿宋" w:cs="华文仿宋"/>
          <w:b/>
          <w:bCs/>
          <w:color w:val="auto"/>
          <w:sz w:val="32"/>
          <w:szCs w:val="32"/>
          <w:lang w:val="en-US" w:eastAsia="zh-CN"/>
        </w:rPr>
        <w:t>省级</w:t>
      </w:r>
      <w:r>
        <w:rPr>
          <w:rFonts w:hint="eastAsia" w:ascii="华文仿宋" w:hAnsi="华文仿宋" w:eastAsia="华文仿宋" w:cs="华文仿宋"/>
          <w:color w:val="auto"/>
          <w:sz w:val="32"/>
          <w:szCs w:val="32"/>
          <w:lang w:val="en-US" w:eastAsia="zh-CN"/>
        </w:rPr>
        <w:t>以上。</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2、优秀造价论文奖：按照表格要求填写，强调是</w:t>
      </w:r>
      <w:r>
        <w:rPr>
          <w:rFonts w:hint="eastAsia" w:ascii="华文仿宋" w:hAnsi="华文仿宋" w:eastAsia="华文仿宋" w:cs="华文仿宋"/>
          <w:b/>
          <w:bCs/>
          <w:color w:val="auto"/>
          <w:sz w:val="32"/>
          <w:szCs w:val="32"/>
          <w:lang w:val="en-US" w:eastAsia="zh-CN"/>
        </w:rPr>
        <w:t>造价</w:t>
      </w:r>
      <w:r>
        <w:rPr>
          <w:rFonts w:hint="eastAsia" w:ascii="华文仿宋" w:hAnsi="华文仿宋" w:eastAsia="华文仿宋" w:cs="华文仿宋"/>
          <w:color w:val="auto"/>
          <w:sz w:val="32"/>
          <w:szCs w:val="32"/>
          <w:lang w:val="en-US" w:eastAsia="zh-CN"/>
        </w:rPr>
        <w:t>论文。</w:t>
      </w:r>
    </w:p>
    <w:p>
      <w:pPr>
        <w:widowControl/>
        <w:numPr>
          <w:ilvl w:val="0"/>
          <w:numId w:val="0"/>
        </w:numPr>
        <w:ind w:firstLine="64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优秀服务成果奖和优秀造价论文奖，只能填报评价年度内所获奖项。</w:t>
      </w:r>
    </w:p>
    <w:p>
      <w:pPr>
        <w:widowControl/>
        <w:numPr>
          <w:ilvl w:val="0"/>
          <w:numId w:val="0"/>
        </w:numPr>
        <w:ind w:firstLine="64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今年，只能填报2020年度内所获奖项。</w:t>
      </w:r>
    </w:p>
    <w:p>
      <w:pPr>
        <w:widowControl/>
        <w:numPr>
          <w:ilvl w:val="0"/>
          <w:numId w:val="0"/>
        </w:numPr>
        <w:ind w:firstLine="64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（二）企业支持专家委工作状况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企业按照表格要求进行填报。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评价时以协会职能部门提供的相关记录为准进行核查。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（一）优秀服务成果奖、优秀造价论文奖均应有省级以上工程造价或与工程造价相关的评奖机构颁发的文件和证书为凭——制作评奖机构颁发的文件和证书扫描件、照片等电子文档作为备查资料。</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（二）企业支持专家委工作情况，企业该准备的照常准备，有关的陕价协文件、下载通讯、扫描证书证件等立档备查，形成系统的备查资料。</w:t>
      </w:r>
    </w:p>
    <w:p>
      <w:pPr>
        <w:widowControl/>
        <w:numPr>
          <w:ilvl w:val="0"/>
          <w:numId w:val="0"/>
        </w:numPr>
        <w:ind w:firstLine="1281" w:firstLineChars="400"/>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H.关于附表3-5《评价期企业品质状况表》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一、本表说明：填列质量保证机构人员，表格数量不足，可自行增加；制度概要，可另行单独表述。</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《评价期企业品质状况表》是第五张表，由一正一续组成。</w:t>
      </w:r>
    </w:p>
    <w:p>
      <w:pPr>
        <w:widowControl/>
        <w:numPr>
          <w:ilvl w:val="0"/>
          <w:numId w:val="3"/>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陕价协信用评价状况，按有效期内的证书填报；中价协——因为动态评价，故以评价期内年末前最后一个评价结论为准。</w:t>
      </w: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 xml:space="preserve">    （二）质量保证体系建设情况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1、质量保证机构：填写负责人、工作人员信息，部分反映了企业质量保证体系是否健全；</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2、质保制度可概要填写，表格空间不足的可另行填写。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3、填写认证机构、认证证书、认证复核时间等信息。</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质量体系认证是指企业取得国家认定的第三方认证机构所颁发的认证书。取得认证书且接受认证机构复核。</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（三）评价期市场行为状况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市场行为，指企业是否能依法依规开展经营活动，是否能认真践行陕西省工程造价咨询行业自律公约。</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1、在市级以上住建部门开展的执法检查中获通报表扬（批评）情况——2020年度内，有就填写，没有就不填——只认在造价咨询业务的执法检查中获得的表扬或批评。</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2、在省造价协会组织的自律检查中获通报表扬（批评）情况——2020年度协会没有组织过，所以大家都不用填。</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1、中、陕价协的信用评价证书（可登录发证单位官网查询）；</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2、第三方认证机构所颁发质量保证体系的认证书、认证资料、复核资料；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3、市级以上住建部门开展的执法检查或省造价协会组织的自律检查活动的通报表扬（批评）的文件。</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p>
    <w:p>
      <w:pPr>
        <w:widowControl/>
        <w:numPr>
          <w:ilvl w:val="0"/>
          <w:numId w:val="0"/>
        </w:numPr>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I.关于附表3-5《评价期企业品质状况表（续）》</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一、本表说明：用户满意度一览表，由企业择服务成果质量最佳的5项填写。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（一）服务成果用户满意度，指用户对服务成果质量的评价为“满意”的项目占申报期内全部服务成果的比例。</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注意：表格设计包括满意度和不满意度两个数据！</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（二）要求提供评价期两个年度的各5个用户满意项目一览表。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这里考察两个方面的问题，一是是否建立了“服务成果用户评价制度”，能否认真实施；二是用户对企业服务成果的满意程度。</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今年是首评，只填报2020年度的相关情况。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1、成文的“企业服务成果用户评价制度”；</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2、企业服务成果用户评价台账。</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p>
    <w:p>
      <w:pPr>
        <w:widowControl/>
        <w:numPr>
          <w:ilvl w:val="0"/>
          <w:numId w:val="0"/>
        </w:numPr>
        <w:jc w:val="left"/>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J.关于附表3-6《评价期企业营业收入表》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《企业营业收入表》是第六张表，也是由一正一续组成。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（一）企业营业总收入：企业总营业收入，指独立的企业法人在一个评价期内各类营业收入之和。</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专营造价咨询业务的不用赘述。若是业务板块较多，兼营造价咨询业务的企业，是指参评的这个业务板块的各类营业收入之和。</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（二）参评工程造价咨询业务收入，表中表达很清楚：包括常规工程造价咨询业务收入、招标代理业务收入（建设工程）、高端收入等三类收入。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以上所讲的收入，均为不含税收入。</w:t>
      </w:r>
    </w:p>
    <w:p>
      <w:pPr>
        <w:widowControl/>
        <w:numPr>
          <w:ilvl w:val="0"/>
          <w:numId w:val="4"/>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表中没有设置“增长率”的位置，需要根据所采集的数据，按规定进行计算。</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工程造价咨询业务收入增长率，指企业在评价期内符合</w:t>
      </w:r>
      <w:r>
        <w:rPr>
          <w:rFonts w:hint="eastAsia" w:ascii="华文仿宋" w:hAnsi="华文仿宋" w:eastAsia="华文仿宋" w:cs="华文仿宋"/>
          <w:color w:val="auto"/>
          <w:sz w:val="32"/>
          <w:szCs w:val="32"/>
          <w:u w:val="single"/>
          <w:lang w:val="en-US" w:eastAsia="zh-CN"/>
        </w:rPr>
        <w:t>评价标准5.2规定的工程造价咨询业务收入</w:t>
      </w:r>
      <w:r>
        <w:rPr>
          <w:rFonts w:hint="eastAsia" w:ascii="华文仿宋" w:hAnsi="华文仿宋" w:eastAsia="华文仿宋" w:cs="华文仿宋"/>
          <w:color w:val="auto"/>
          <w:sz w:val="32"/>
          <w:szCs w:val="32"/>
          <w:lang w:val="en-US" w:eastAsia="zh-CN"/>
        </w:rPr>
        <w:t>，与上一个评价期比较所得出的增长幅度。（在这里，</w:t>
      </w:r>
      <w:r>
        <w:rPr>
          <w:rFonts w:hint="eastAsia" w:ascii="华文仿宋" w:hAnsi="华文仿宋" w:eastAsia="华文仿宋" w:cs="华文仿宋"/>
          <w:color w:val="auto"/>
          <w:sz w:val="32"/>
          <w:szCs w:val="32"/>
          <w:u w:val="single"/>
          <w:lang w:val="en-US" w:eastAsia="zh-CN"/>
        </w:rPr>
        <w:t>评价标准5.2规定的工程造价咨询业务收入</w:t>
      </w:r>
      <w:r>
        <w:rPr>
          <w:rFonts w:hint="eastAsia" w:ascii="华文仿宋" w:hAnsi="华文仿宋" w:eastAsia="华文仿宋" w:cs="华文仿宋"/>
          <w:color w:val="auto"/>
          <w:sz w:val="32"/>
          <w:szCs w:val="32"/>
          <w:lang w:val="en-US" w:eastAsia="zh-CN"/>
        </w:rPr>
        <w:t>就是表格中的“参评工程造价咨询业务收入”）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计算公式为：工程造价咨询业务收入增长率=[（本评价期工程造价咨询业务收入/上评价期工程造价咨询业务收入）-1]*100%</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按照公式，增长率应该是本评价期两年收入之和与上评价期两年收入之和的比较所得出的增长幅度。</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今年是首评，就用《工程造价咨询统计调查系统》的企业2019年末和2020年末的两个数据计算所得出的增长率来进行评价。</w:t>
      </w:r>
    </w:p>
    <w:p>
      <w:pPr>
        <w:widowControl/>
        <w:numPr>
          <w:ilvl w:val="0"/>
          <w:numId w:val="4"/>
        </w:numPr>
        <w:ind w:left="0" w:leftChars="0"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高端业务收入，请大家严格按照其定义、以及下述的四个“可视为”来甄别、来操作。</w:t>
      </w:r>
    </w:p>
    <w:p>
      <w:pPr>
        <w:widowControl/>
        <w:numPr>
          <w:ilvl w:val="0"/>
          <w:numId w:val="5"/>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如何把握PPP项目咨询业务收入？</w:t>
      </w:r>
    </w:p>
    <w:p>
      <w:pPr>
        <w:widowControl/>
        <w:numPr>
          <w:ilvl w:val="0"/>
          <w:numId w:val="6"/>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看合同委托。PPP项目咨询，其委托方必须是政府部门或者政府授权的机构，不能是社会资本方；</w:t>
      </w:r>
    </w:p>
    <w:p>
      <w:pPr>
        <w:widowControl/>
        <w:numPr>
          <w:ilvl w:val="0"/>
          <w:numId w:val="7"/>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看委托的服务内涵。PPP项目咨询委托合同，所委托的服务内涵，必须是编制完成完整的“PPP项目实施方案”，而不是碎片化的某一项服务；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第三，看服务的深度。PPP项目咨询的服务深度，最低限度必须提交完整的“PPP项目实施方案”，一般限度，提交完整的“PPP项目实施方案”，同时协助委托方完成对社会资本的招标，理想的限度，开展全过程的工程造价咨询或全过程工程咨询。只有通过这“三看”，才能判定一项业务是否属于“PPP项目咨询”。</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2、如何把握全过程工程咨询业务收入？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第一、全过程工程造价咨询，可视为全过程工程咨询。这里所说的全过程工程造价咨询又可以分为三个层次：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一是基本层次，即从编制招标工程量清单、编制招标最高限价开始，到确定合同价、编制或审核施工过程结算价，再到编制或审核工程决算价，这样一个围绕施工全过程的计价活动；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二是延伸层次，即也可以向前延伸到项目决策阶段的投资估算、设计概算，包括从项目的投资决策到项目实施这样一个全过程的计价活动；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是最高层次，即全寿命周期的计价活动，既包括项目的投资决策、项目的实施、项目的竣工验收投入运营、运营维护直至项目寿命周期结束的全部计价活动。目前，在业内讲全过程工程造价咨询，一般是基本层次。</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判断是不是全过程工程造价咨询，一定要以合同为依据，看合同明确约定的服务内涵。合同约定的服务内涵必须体现全过程造价咨询的基本要素。全过程工程造价咨询的服务成果应当分阶段提供，服务费用可以分阶段收取。只要合同属于全过程服务合同，分阶段收取的服务费用，应当属于全过程造价咨询收入。</w:t>
      </w:r>
    </w:p>
    <w:p>
      <w:pPr>
        <w:widowControl/>
        <w:numPr>
          <w:ilvl w:val="0"/>
          <w:numId w:val="6"/>
        </w:numPr>
        <w:ind w:left="0" w:leftChars="0"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施工阶段的全过程造价咨询加工程监理，可视为全过程工程咨询。如果一个造价咨询企业实行多元化经营，既具有造价咨询资质，又具有工程监理资质，与委托方所签服务合同，既具有造价咨询的服务内涵，又具有工程监理的服务内涵，其服务收入可视为全过程工程咨询业务收入。如果一个造价咨询企业与一个工程监理企业组成联合体，共同接受委托，为同一个项目提供服务，其服务收入可依据组成联合体的约定，各自分别将收入列入全工程工程咨询收入。</w:t>
      </w:r>
    </w:p>
    <w:p>
      <w:pPr>
        <w:widowControl/>
        <w:numPr>
          <w:ilvl w:val="0"/>
          <w:numId w:val="6"/>
        </w:numPr>
        <w:ind w:left="0" w:leftChars="0"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施工阶段的全过程造价咨询加工程监理再加设计优化服务，可视为全过程工程咨询。</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造价咨询企业开展设计优化服务，是应当大力提倡的一项服务内涵。目前已有一些企业开始这样的尝试，更应当予以鼓励。评价活动中要以合同为依据，并结合设计优化成果来判定。</w:t>
      </w:r>
    </w:p>
    <w:p>
      <w:pPr>
        <w:widowControl/>
        <w:numPr>
          <w:ilvl w:val="0"/>
          <w:numId w:val="6"/>
        </w:numPr>
        <w:ind w:left="0" w:leftChars="0"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施工阶段的全过程造价咨询加工程监理、设计优化再加项目决策阶段的造价咨询（投资估算、设计概算咨询），可视为完全意义上的全过程工程咨询的初级阶段。服务合同约定的服务内涵，包括了上述内容，则更应当视同为全过程工程咨询。</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EPC项目咨询，指以工程造价控制为核心，履行项目设计、采购、施工全过程咨询服务的咨询方式，一般以优化初步设计与深化设计概算为起点，以总价合同的约定与履行为主要抓手，服务内涵可涵盖设计管理、造价咨询、招标代理、工程监理等全方位项目管理。</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对于上述各种类型的咨询项目，填报人员要严格用其定义来对照合同内容、服务内涵，以确定是否为高端业务收入。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凡高端收入项目——PPP项目、全过程工程咨询项目、EPC项目，均应提供所填报项目的咨询合同和发票；</w:t>
      </w:r>
    </w:p>
    <w:p>
      <w:pPr>
        <w:widowControl/>
        <w:numPr>
          <w:ilvl w:val="0"/>
          <w:numId w:val="0"/>
        </w:numPr>
        <w:ind w:firstLine="641" w:firstLineChars="200"/>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K.关于附表3-6《评价期企业营业收入表（续）》</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1、工程造价咨询业务收入，依合同收入高低为序，从高到低，最多列30个合同项目即可；</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2、高端业务收入，列入全部合同项目。</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3、本表按评价期两个年度分别填写。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该表是营业收入的续表，是对前表主要内容的支持和细化。</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本表是按正常评价期两个年度提出要求的，即同样的表式，按两个年度分别填写。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今年是首评，填写一张即可。</w:t>
      </w:r>
    </w:p>
    <w:p>
      <w:pPr>
        <w:widowControl/>
        <w:numPr>
          <w:ilvl w:val="0"/>
          <w:numId w:val="0"/>
        </w:numPr>
        <w:jc w:val="left"/>
        <w:rPr>
          <w:rFonts w:hint="eastAsia" w:ascii="华文仿宋" w:hAnsi="华文仿宋" w:eastAsia="华文仿宋" w:cs="华文仿宋"/>
          <w:b/>
          <w:bCs/>
          <w:color w:val="auto"/>
          <w:sz w:val="32"/>
          <w:szCs w:val="32"/>
          <w:lang w:val="en-US" w:eastAsia="zh-CN"/>
        </w:rPr>
      </w:pPr>
    </w:p>
    <w:p>
      <w:pPr>
        <w:widowControl/>
        <w:numPr>
          <w:ilvl w:val="0"/>
          <w:numId w:val="0"/>
        </w:numPr>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L.关于附表3-7《评价期企业履行社会责任情况表》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一、本表说明：纳税情况应提供报税、纳税凭证。</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二、填报内容解析</w:t>
      </w:r>
    </w:p>
    <w:p>
      <w:pPr>
        <w:widowControl/>
        <w:numPr>
          <w:ilvl w:val="0"/>
          <w:numId w:val="0"/>
        </w:numPr>
        <w:ind w:firstLine="640" w:firstLineChars="200"/>
        <w:jc w:val="left"/>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color w:val="auto"/>
          <w:sz w:val="32"/>
          <w:szCs w:val="32"/>
          <w:lang w:val="en-US" w:eastAsia="zh-CN"/>
        </w:rPr>
        <w:t>《评价期企业履行社会责任情况表》是《申报资料表》的第七张表，也是最后一张表。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（一）评价期企业注册地纳税额，指企业向税务机关缴纳的依法必须缴纳的全部税金，包括增值税、所得税等。</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按表格要求填报，今年只填2020年度的纳税额。</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备查资料：企业向税务机关的报税、纳税凭证。</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（二）参与扶贫与慈善工作</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捐款捐物等等活动，捐物要折合成人民币多少来体现。</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备查资料：参与扶贫与慈善工作时所留有的相关凭证：如收据、发票、签收单据等等。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（三）面向全行业的公益活动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1、面向全行业的公益活动，指企业受协会委托，或者企业建议并经协会同意，由企业主办或承办的面向全行业且具有一定规模的公益性业务技术讲座与公益性文化体育卫生等活动。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注意，这里的活动都是与协会工作亦即与全行业的健康发展相关联的。</w:t>
      </w:r>
    </w:p>
    <w:p>
      <w:pPr>
        <w:widowControl/>
        <w:numPr>
          <w:ilvl w:val="0"/>
          <w:numId w:val="5"/>
        </w:numPr>
        <w:ind w:left="0" w:leftChars="0"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备查资料：协会相关文件。</w:t>
      </w:r>
    </w:p>
    <w:p>
      <w:pPr>
        <w:widowControl/>
        <w:numPr>
          <w:ilvl w:val="0"/>
          <w:numId w:val="0"/>
        </w:numPr>
        <w:ind w:firstLine="320" w:firstLineChars="1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（四）支持协会组织建设情况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1、支持协会组织建设情况，目前突出一个主题：专业人员入会率和单位、个人会员会费缴纳情况（缴费率）</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（1）企业承办协办活动文件、通稿、影像资料；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（2）企业办理个人会员入会的缴费发票。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评价时，入会率和缴费率均以会员部提供的统计数据核算为准。</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面向全行业的公益活动和支持协会组织建设情况，因为是首次评价，为鼓励大家的积极性，填报时限可以放宽到申报资料截止日，即2021年6月11日。在截止日之前主办承办活动，在截止日之前办理个人会员入会手续并交纳了全部会费的，均可纳入本期评价。</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（五）企业接纳工程造价专业学生实习情况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1、填写已设立或者未设立。</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2、备查资料：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1、企业与相关大专院校签订的合作协议；</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2、接纳学生、师资、项目的台账。</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三、备查资料，把前述内容归纳起来：</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（一）评价期企业注册地纳税额</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企业向税务机关的报税、纳税凭证。</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（二）参与扶贫与慈善工作</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参与扶贫与慈善工作时所留有的相关凭证：如收据、发票、签收单据等等。</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（三）面向全行业的公益活动</w:t>
      </w:r>
    </w:p>
    <w:p>
      <w:pPr>
        <w:widowControl/>
        <w:numPr>
          <w:ilvl w:val="0"/>
          <w:numId w:val="0"/>
        </w:numPr>
        <w:ind w:leftChars="200" w:firstLine="320" w:firstLineChars="1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协会相关文件。</w:t>
      </w:r>
    </w:p>
    <w:p>
      <w:pPr>
        <w:widowControl/>
        <w:numPr>
          <w:ilvl w:val="0"/>
          <w:numId w:val="0"/>
        </w:numPr>
        <w:ind w:firstLine="320" w:firstLineChars="1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（四）支持协会组织建设情况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1、企业承办协办活动文件、通稿、影像资料；</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2、企业办理个人会员入会的缴费发票。</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（五）企业接纳工程造价专业学生实习情况</w:t>
      </w:r>
    </w:p>
    <w:p>
      <w:pPr>
        <w:widowControl/>
        <w:numPr>
          <w:ilvl w:val="0"/>
          <w:numId w:val="0"/>
        </w:numPr>
        <w:ind w:firstLine="640" w:firstLineChars="200"/>
        <w:jc w:val="left"/>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1、企业与相关大专院校签订的合作协议；</w:t>
      </w:r>
    </w:p>
    <w:p>
      <w:pPr>
        <w:widowControl/>
        <w:numPr>
          <w:ilvl w:val="0"/>
          <w:numId w:val="0"/>
        </w:numPr>
        <w:ind w:firstLine="640" w:firstLineChars="200"/>
        <w:jc w:val="left"/>
        <w:rPr>
          <w:rFonts w:hint="default"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2、接纳学生、师资、项目的台账。</w:t>
      </w:r>
    </w:p>
    <w:p>
      <w:pPr>
        <w:widowControl/>
        <w:numPr>
          <w:ilvl w:val="0"/>
          <w:numId w:val="0"/>
        </w:numPr>
        <w:jc w:val="left"/>
        <w:rPr>
          <w:rFonts w:hint="default" w:ascii="华文仿宋" w:hAnsi="华文仿宋" w:eastAsia="华文仿宋" w:cs="华文仿宋"/>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4648B"/>
    <w:multiLevelType w:val="singleLevel"/>
    <w:tmpl w:val="A584648B"/>
    <w:lvl w:ilvl="0" w:tentative="0">
      <w:start w:val="1"/>
      <w:numFmt w:val="decimal"/>
      <w:suff w:val="nothing"/>
      <w:lvlText w:val="%1、"/>
      <w:lvlJc w:val="left"/>
    </w:lvl>
  </w:abstractNum>
  <w:abstractNum w:abstractNumId="1">
    <w:nsid w:val="D51F0965"/>
    <w:multiLevelType w:val="singleLevel"/>
    <w:tmpl w:val="D51F0965"/>
    <w:lvl w:ilvl="0" w:tentative="0">
      <w:start w:val="2"/>
      <w:numFmt w:val="chineseCounting"/>
      <w:suff w:val="nothing"/>
      <w:lvlText w:val="%1、"/>
      <w:lvlJc w:val="left"/>
      <w:rPr>
        <w:rFonts w:hint="eastAsia"/>
      </w:rPr>
    </w:lvl>
  </w:abstractNum>
  <w:abstractNum w:abstractNumId="2">
    <w:nsid w:val="0694D864"/>
    <w:multiLevelType w:val="singleLevel"/>
    <w:tmpl w:val="0694D864"/>
    <w:lvl w:ilvl="0" w:tentative="0">
      <w:start w:val="2"/>
      <w:numFmt w:val="chineseCounting"/>
      <w:suff w:val="nothing"/>
      <w:lvlText w:val="第%1，"/>
      <w:lvlJc w:val="left"/>
      <w:rPr>
        <w:rFonts w:hint="eastAsia"/>
      </w:rPr>
    </w:lvl>
  </w:abstractNum>
  <w:abstractNum w:abstractNumId="3">
    <w:nsid w:val="0EFEE317"/>
    <w:multiLevelType w:val="singleLevel"/>
    <w:tmpl w:val="0EFEE317"/>
    <w:lvl w:ilvl="0" w:tentative="0">
      <w:start w:val="1"/>
      <w:numFmt w:val="chineseCounting"/>
      <w:suff w:val="nothing"/>
      <w:lvlText w:val="（%1）"/>
      <w:lvlJc w:val="left"/>
      <w:pPr>
        <w:ind w:left="-10"/>
      </w:pPr>
      <w:rPr>
        <w:rFonts w:hint="eastAsia"/>
      </w:rPr>
    </w:lvl>
  </w:abstractNum>
  <w:abstractNum w:abstractNumId="4">
    <w:nsid w:val="1B5738CE"/>
    <w:multiLevelType w:val="singleLevel"/>
    <w:tmpl w:val="1B5738CE"/>
    <w:lvl w:ilvl="0" w:tentative="0">
      <w:start w:val="3"/>
      <w:numFmt w:val="chineseCounting"/>
      <w:suff w:val="nothing"/>
      <w:lvlText w:val="（%1）"/>
      <w:lvlJc w:val="left"/>
      <w:rPr>
        <w:rFonts w:hint="eastAsia"/>
      </w:rPr>
    </w:lvl>
  </w:abstractNum>
  <w:abstractNum w:abstractNumId="5">
    <w:nsid w:val="40639B9B"/>
    <w:multiLevelType w:val="singleLevel"/>
    <w:tmpl w:val="40639B9B"/>
    <w:lvl w:ilvl="0" w:tentative="0">
      <w:start w:val="1"/>
      <w:numFmt w:val="chineseCounting"/>
      <w:suff w:val="nothing"/>
      <w:lvlText w:val="第%1、"/>
      <w:lvlJc w:val="left"/>
      <w:rPr>
        <w:rFonts w:hint="eastAsia"/>
      </w:rPr>
    </w:lvl>
  </w:abstractNum>
  <w:abstractNum w:abstractNumId="6">
    <w:nsid w:val="4BD7926B"/>
    <w:multiLevelType w:val="singleLevel"/>
    <w:tmpl w:val="4BD7926B"/>
    <w:lvl w:ilvl="0" w:tentative="0">
      <w:start w:val="1"/>
      <w:numFmt w:val="chineseCounting"/>
      <w:suff w:val="nothing"/>
      <w:lvlText w:val="（%1）"/>
      <w:lvlJc w:val="left"/>
      <w:rPr>
        <w:rFonts w:hint="eastAsia"/>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B1943"/>
    <w:rsid w:val="0157787B"/>
    <w:rsid w:val="01984A09"/>
    <w:rsid w:val="01BF405A"/>
    <w:rsid w:val="02062C02"/>
    <w:rsid w:val="024263C4"/>
    <w:rsid w:val="02806EE2"/>
    <w:rsid w:val="035E4DBE"/>
    <w:rsid w:val="03710210"/>
    <w:rsid w:val="03BE33D9"/>
    <w:rsid w:val="04231D07"/>
    <w:rsid w:val="044C4B41"/>
    <w:rsid w:val="04A30E0B"/>
    <w:rsid w:val="053B0E44"/>
    <w:rsid w:val="06D81FF9"/>
    <w:rsid w:val="0797398D"/>
    <w:rsid w:val="07F4039E"/>
    <w:rsid w:val="08113B81"/>
    <w:rsid w:val="08273755"/>
    <w:rsid w:val="08970E3A"/>
    <w:rsid w:val="089829E2"/>
    <w:rsid w:val="08E10856"/>
    <w:rsid w:val="08F24F7C"/>
    <w:rsid w:val="093302B6"/>
    <w:rsid w:val="0A474FA6"/>
    <w:rsid w:val="0ABB57EE"/>
    <w:rsid w:val="0AE67DDF"/>
    <w:rsid w:val="0AEA098E"/>
    <w:rsid w:val="0B457194"/>
    <w:rsid w:val="0BBC5794"/>
    <w:rsid w:val="0C662934"/>
    <w:rsid w:val="0CF91CC7"/>
    <w:rsid w:val="0DA51966"/>
    <w:rsid w:val="0EDC47D4"/>
    <w:rsid w:val="0F487375"/>
    <w:rsid w:val="102A7881"/>
    <w:rsid w:val="103B3233"/>
    <w:rsid w:val="11951D48"/>
    <w:rsid w:val="120342F4"/>
    <w:rsid w:val="12C00BD8"/>
    <w:rsid w:val="12CF22B5"/>
    <w:rsid w:val="12F273C1"/>
    <w:rsid w:val="12F37C07"/>
    <w:rsid w:val="12F8123B"/>
    <w:rsid w:val="138A7C74"/>
    <w:rsid w:val="145011B9"/>
    <w:rsid w:val="147C2B60"/>
    <w:rsid w:val="14BE0E91"/>
    <w:rsid w:val="14CC24F6"/>
    <w:rsid w:val="14F87FB9"/>
    <w:rsid w:val="15486DF9"/>
    <w:rsid w:val="15577622"/>
    <w:rsid w:val="161A5238"/>
    <w:rsid w:val="162A0DB7"/>
    <w:rsid w:val="164161A7"/>
    <w:rsid w:val="16A82EB4"/>
    <w:rsid w:val="16C84B16"/>
    <w:rsid w:val="173468BB"/>
    <w:rsid w:val="17A74EFF"/>
    <w:rsid w:val="17B5637D"/>
    <w:rsid w:val="17F62DDC"/>
    <w:rsid w:val="18240083"/>
    <w:rsid w:val="1893373B"/>
    <w:rsid w:val="18FD0C8A"/>
    <w:rsid w:val="19157E7E"/>
    <w:rsid w:val="19363A36"/>
    <w:rsid w:val="194316A1"/>
    <w:rsid w:val="196331B3"/>
    <w:rsid w:val="19F82F97"/>
    <w:rsid w:val="1A2804AA"/>
    <w:rsid w:val="1A41396F"/>
    <w:rsid w:val="1A67262F"/>
    <w:rsid w:val="1A780625"/>
    <w:rsid w:val="1A9A2156"/>
    <w:rsid w:val="1AA50383"/>
    <w:rsid w:val="1AB26195"/>
    <w:rsid w:val="1BB63C22"/>
    <w:rsid w:val="1BC6361A"/>
    <w:rsid w:val="1C1D4899"/>
    <w:rsid w:val="1C6E3B9F"/>
    <w:rsid w:val="1CBB23C0"/>
    <w:rsid w:val="1CE538A4"/>
    <w:rsid w:val="1CE65771"/>
    <w:rsid w:val="1D03228E"/>
    <w:rsid w:val="1D422ADD"/>
    <w:rsid w:val="1D424F80"/>
    <w:rsid w:val="1D963EA3"/>
    <w:rsid w:val="1DC22001"/>
    <w:rsid w:val="1DC5135D"/>
    <w:rsid w:val="1E0B786A"/>
    <w:rsid w:val="1E494B93"/>
    <w:rsid w:val="1E4D6269"/>
    <w:rsid w:val="1E876F49"/>
    <w:rsid w:val="1EEC2039"/>
    <w:rsid w:val="1F343DE6"/>
    <w:rsid w:val="1F9A3DC2"/>
    <w:rsid w:val="1FC34647"/>
    <w:rsid w:val="20312738"/>
    <w:rsid w:val="20B36B8B"/>
    <w:rsid w:val="20B725B5"/>
    <w:rsid w:val="21627B36"/>
    <w:rsid w:val="219078D7"/>
    <w:rsid w:val="21BE248D"/>
    <w:rsid w:val="22551FD6"/>
    <w:rsid w:val="227C34A1"/>
    <w:rsid w:val="22E33C89"/>
    <w:rsid w:val="237A7B98"/>
    <w:rsid w:val="2402448F"/>
    <w:rsid w:val="244913EF"/>
    <w:rsid w:val="24D15636"/>
    <w:rsid w:val="250E6B1B"/>
    <w:rsid w:val="25550280"/>
    <w:rsid w:val="255B2ADA"/>
    <w:rsid w:val="25B1646A"/>
    <w:rsid w:val="25EE2DC6"/>
    <w:rsid w:val="25FE2AE3"/>
    <w:rsid w:val="26287462"/>
    <w:rsid w:val="263B4503"/>
    <w:rsid w:val="267C4935"/>
    <w:rsid w:val="26F8041E"/>
    <w:rsid w:val="26FC2F5D"/>
    <w:rsid w:val="270717CD"/>
    <w:rsid w:val="27974BC4"/>
    <w:rsid w:val="27C27A06"/>
    <w:rsid w:val="27E109C5"/>
    <w:rsid w:val="288C5E71"/>
    <w:rsid w:val="29005FEE"/>
    <w:rsid w:val="292D7D02"/>
    <w:rsid w:val="293E1F65"/>
    <w:rsid w:val="29526259"/>
    <w:rsid w:val="297846E2"/>
    <w:rsid w:val="298B2E57"/>
    <w:rsid w:val="29933133"/>
    <w:rsid w:val="29A10F59"/>
    <w:rsid w:val="29C50426"/>
    <w:rsid w:val="29ED4855"/>
    <w:rsid w:val="2A546A46"/>
    <w:rsid w:val="2A5B4EC2"/>
    <w:rsid w:val="2A5D2EF1"/>
    <w:rsid w:val="2A7553FE"/>
    <w:rsid w:val="2A7B5668"/>
    <w:rsid w:val="2B0862DC"/>
    <w:rsid w:val="2B1A1F89"/>
    <w:rsid w:val="2B1A2B38"/>
    <w:rsid w:val="2B454504"/>
    <w:rsid w:val="2B82728E"/>
    <w:rsid w:val="2B8E6D26"/>
    <w:rsid w:val="2BCB4D0F"/>
    <w:rsid w:val="2C227BB2"/>
    <w:rsid w:val="2C2F0634"/>
    <w:rsid w:val="2C590461"/>
    <w:rsid w:val="2CD44F54"/>
    <w:rsid w:val="2CE87DD8"/>
    <w:rsid w:val="2D005AA7"/>
    <w:rsid w:val="2D861E37"/>
    <w:rsid w:val="2E282728"/>
    <w:rsid w:val="2E6224A2"/>
    <w:rsid w:val="2EDB5867"/>
    <w:rsid w:val="2EDD0A58"/>
    <w:rsid w:val="2FCE49EE"/>
    <w:rsid w:val="30047633"/>
    <w:rsid w:val="304439A7"/>
    <w:rsid w:val="30515F76"/>
    <w:rsid w:val="30546C5D"/>
    <w:rsid w:val="30674245"/>
    <w:rsid w:val="30792542"/>
    <w:rsid w:val="309A4887"/>
    <w:rsid w:val="30CB5DA0"/>
    <w:rsid w:val="30DA01B2"/>
    <w:rsid w:val="318D0463"/>
    <w:rsid w:val="31DB110F"/>
    <w:rsid w:val="321B170E"/>
    <w:rsid w:val="323B75D8"/>
    <w:rsid w:val="323D41B0"/>
    <w:rsid w:val="32D37D44"/>
    <w:rsid w:val="33251337"/>
    <w:rsid w:val="332B094D"/>
    <w:rsid w:val="33592ECA"/>
    <w:rsid w:val="33680A7F"/>
    <w:rsid w:val="341D54AB"/>
    <w:rsid w:val="345610B0"/>
    <w:rsid w:val="34BA1143"/>
    <w:rsid w:val="357B09C8"/>
    <w:rsid w:val="35FE5812"/>
    <w:rsid w:val="36664962"/>
    <w:rsid w:val="367E12D8"/>
    <w:rsid w:val="36863CDB"/>
    <w:rsid w:val="36A06AF8"/>
    <w:rsid w:val="36A569E3"/>
    <w:rsid w:val="36E57B8B"/>
    <w:rsid w:val="36F438BD"/>
    <w:rsid w:val="373738DB"/>
    <w:rsid w:val="375E4ED1"/>
    <w:rsid w:val="37A55BA6"/>
    <w:rsid w:val="37AA6788"/>
    <w:rsid w:val="384C5404"/>
    <w:rsid w:val="385B4BE6"/>
    <w:rsid w:val="38694879"/>
    <w:rsid w:val="389A17EE"/>
    <w:rsid w:val="38B131E6"/>
    <w:rsid w:val="38C11F16"/>
    <w:rsid w:val="394456DA"/>
    <w:rsid w:val="39464FAB"/>
    <w:rsid w:val="39743B8C"/>
    <w:rsid w:val="397C7565"/>
    <w:rsid w:val="39801DAC"/>
    <w:rsid w:val="39C1475D"/>
    <w:rsid w:val="39FB0BC8"/>
    <w:rsid w:val="3AC22AC3"/>
    <w:rsid w:val="3AD02AC8"/>
    <w:rsid w:val="3ADA14AD"/>
    <w:rsid w:val="3AE92753"/>
    <w:rsid w:val="3AFB403C"/>
    <w:rsid w:val="3B430E56"/>
    <w:rsid w:val="3B680437"/>
    <w:rsid w:val="3BAB1AEF"/>
    <w:rsid w:val="3BC272B6"/>
    <w:rsid w:val="3C443916"/>
    <w:rsid w:val="3C8046E8"/>
    <w:rsid w:val="3C8F5FD6"/>
    <w:rsid w:val="3DB24871"/>
    <w:rsid w:val="3E446DDE"/>
    <w:rsid w:val="3E8D786D"/>
    <w:rsid w:val="3F265CEF"/>
    <w:rsid w:val="3FCE075B"/>
    <w:rsid w:val="3FFA2D0E"/>
    <w:rsid w:val="40037670"/>
    <w:rsid w:val="403401D0"/>
    <w:rsid w:val="4049341D"/>
    <w:rsid w:val="404B6BA9"/>
    <w:rsid w:val="40704440"/>
    <w:rsid w:val="409816CB"/>
    <w:rsid w:val="420575BE"/>
    <w:rsid w:val="42831BAB"/>
    <w:rsid w:val="43177981"/>
    <w:rsid w:val="4542220C"/>
    <w:rsid w:val="45715562"/>
    <w:rsid w:val="4621359D"/>
    <w:rsid w:val="463118DD"/>
    <w:rsid w:val="46A80294"/>
    <w:rsid w:val="47674A21"/>
    <w:rsid w:val="47E14AFE"/>
    <w:rsid w:val="483D6FAD"/>
    <w:rsid w:val="48546CBE"/>
    <w:rsid w:val="487733B9"/>
    <w:rsid w:val="489317DE"/>
    <w:rsid w:val="48A316E4"/>
    <w:rsid w:val="48DF30F0"/>
    <w:rsid w:val="49586168"/>
    <w:rsid w:val="497A321F"/>
    <w:rsid w:val="49941AA9"/>
    <w:rsid w:val="49C80018"/>
    <w:rsid w:val="4A2F3F81"/>
    <w:rsid w:val="4A5B562B"/>
    <w:rsid w:val="4AAE31DD"/>
    <w:rsid w:val="4B397159"/>
    <w:rsid w:val="4B5056A6"/>
    <w:rsid w:val="4B551420"/>
    <w:rsid w:val="4B887887"/>
    <w:rsid w:val="4BAB140D"/>
    <w:rsid w:val="4BD05BDE"/>
    <w:rsid w:val="4BEE6691"/>
    <w:rsid w:val="4CA07996"/>
    <w:rsid w:val="4CAB07D4"/>
    <w:rsid w:val="4D154B90"/>
    <w:rsid w:val="4D6B7B92"/>
    <w:rsid w:val="4DA20731"/>
    <w:rsid w:val="4E9A3739"/>
    <w:rsid w:val="4EDC64A1"/>
    <w:rsid w:val="4F2D4000"/>
    <w:rsid w:val="4F753AE6"/>
    <w:rsid w:val="4F9F7EB5"/>
    <w:rsid w:val="4FA4425E"/>
    <w:rsid w:val="4FC4071C"/>
    <w:rsid w:val="50825D25"/>
    <w:rsid w:val="509246FE"/>
    <w:rsid w:val="50FB304B"/>
    <w:rsid w:val="51411258"/>
    <w:rsid w:val="51C22720"/>
    <w:rsid w:val="51CA63C1"/>
    <w:rsid w:val="528552A7"/>
    <w:rsid w:val="52DA754E"/>
    <w:rsid w:val="532D40EF"/>
    <w:rsid w:val="5364144C"/>
    <w:rsid w:val="537A4922"/>
    <w:rsid w:val="545064CE"/>
    <w:rsid w:val="54B13F47"/>
    <w:rsid w:val="54C66B81"/>
    <w:rsid w:val="54E233B1"/>
    <w:rsid w:val="54FA02D6"/>
    <w:rsid w:val="555436AB"/>
    <w:rsid w:val="556230D1"/>
    <w:rsid w:val="55B91125"/>
    <w:rsid w:val="56217E40"/>
    <w:rsid w:val="563B1FEB"/>
    <w:rsid w:val="56C7218D"/>
    <w:rsid w:val="58872A05"/>
    <w:rsid w:val="58E2608B"/>
    <w:rsid w:val="58EB1CEE"/>
    <w:rsid w:val="591F384D"/>
    <w:rsid w:val="59362FF3"/>
    <w:rsid w:val="59772F33"/>
    <w:rsid w:val="5A0A48E0"/>
    <w:rsid w:val="5A192B40"/>
    <w:rsid w:val="5A792E48"/>
    <w:rsid w:val="5A91585C"/>
    <w:rsid w:val="5B224F2E"/>
    <w:rsid w:val="5B3A3EC3"/>
    <w:rsid w:val="5B4F5403"/>
    <w:rsid w:val="5C47707C"/>
    <w:rsid w:val="5C6B00E9"/>
    <w:rsid w:val="5CE970C6"/>
    <w:rsid w:val="5D050C01"/>
    <w:rsid w:val="5D1C5901"/>
    <w:rsid w:val="5D1D3C60"/>
    <w:rsid w:val="5D271EE1"/>
    <w:rsid w:val="5DA00354"/>
    <w:rsid w:val="5E41661B"/>
    <w:rsid w:val="5EFB5826"/>
    <w:rsid w:val="5F07471B"/>
    <w:rsid w:val="5F937B5C"/>
    <w:rsid w:val="5F9C0D22"/>
    <w:rsid w:val="5FF51BBE"/>
    <w:rsid w:val="601A6DB3"/>
    <w:rsid w:val="60251DA5"/>
    <w:rsid w:val="60FF2050"/>
    <w:rsid w:val="610A5158"/>
    <w:rsid w:val="61393E9A"/>
    <w:rsid w:val="61517CCF"/>
    <w:rsid w:val="61680BD8"/>
    <w:rsid w:val="61B40AB4"/>
    <w:rsid w:val="61F33502"/>
    <w:rsid w:val="620470FD"/>
    <w:rsid w:val="62241C0F"/>
    <w:rsid w:val="62F86CB7"/>
    <w:rsid w:val="63953E51"/>
    <w:rsid w:val="64535648"/>
    <w:rsid w:val="64584F73"/>
    <w:rsid w:val="65443AC8"/>
    <w:rsid w:val="655362BB"/>
    <w:rsid w:val="6570200E"/>
    <w:rsid w:val="658176CF"/>
    <w:rsid w:val="65B65D2A"/>
    <w:rsid w:val="65DC01A6"/>
    <w:rsid w:val="66366E45"/>
    <w:rsid w:val="6697494D"/>
    <w:rsid w:val="679E7C26"/>
    <w:rsid w:val="67A8668E"/>
    <w:rsid w:val="682118E0"/>
    <w:rsid w:val="68406038"/>
    <w:rsid w:val="685F6239"/>
    <w:rsid w:val="6877445F"/>
    <w:rsid w:val="688D7491"/>
    <w:rsid w:val="68E074F2"/>
    <w:rsid w:val="690F5E04"/>
    <w:rsid w:val="691214C5"/>
    <w:rsid w:val="69244F6E"/>
    <w:rsid w:val="695E7F4E"/>
    <w:rsid w:val="697221B1"/>
    <w:rsid w:val="6984537E"/>
    <w:rsid w:val="6AF53B76"/>
    <w:rsid w:val="6AFE21E3"/>
    <w:rsid w:val="6B222843"/>
    <w:rsid w:val="6B4C38A4"/>
    <w:rsid w:val="6B8F6B28"/>
    <w:rsid w:val="6BFF27A1"/>
    <w:rsid w:val="6C2904CC"/>
    <w:rsid w:val="6C6D0A18"/>
    <w:rsid w:val="6D1B7D94"/>
    <w:rsid w:val="6D3C19F8"/>
    <w:rsid w:val="6D86707F"/>
    <w:rsid w:val="6DCD1D77"/>
    <w:rsid w:val="6E5270F7"/>
    <w:rsid w:val="6EC47147"/>
    <w:rsid w:val="6EC728C4"/>
    <w:rsid w:val="70185AF4"/>
    <w:rsid w:val="704F3BE9"/>
    <w:rsid w:val="705D2FE3"/>
    <w:rsid w:val="70A574F1"/>
    <w:rsid w:val="70AF191A"/>
    <w:rsid w:val="70E222DD"/>
    <w:rsid w:val="70EF0857"/>
    <w:rsid w:val="710E7926"/>
    <w:rsid w:val="71A51238"/>
    <w:rsid w:val="71AE4D94"/>
    <w:rsid w:val="72015C84"/>
    <w:rsid w:val="721F33F7"/>
    <w:rsid w:val="72480EC3"/>
    <w:rsid w:val="728054D0"/>
    <w:rsid w:val="729C2F00"/>
    <w:rsid w:val="72AA446F"/>
    <w:rsid w:val="72C8192D"/>
    <w:rsid w:val="7344230E"/>
    <w:rsid w:val="73E67189"/>
    <w:rsid w:val="740B23FF"/>
    <w:rsid w:val="7463773E"/>
    <w:rsid w:val="748C5D2C"/>
    <w:rsid w:val="74CD6F77"/>
    <w:rsid w:val="7506518C"/>
    <w:rsid w:val="755B29B4"/>
    <w:rsid w:val="759C3C97"/>
    <w:rsid w:val="75CD4135"/>
    <w:rsid w:val="75FD334C"/>
    <w:rsid w:val="7658589E"/>
    <w:rsid w:val="765C555E"/>
    <w:rsid w:val="76AE7726"/>
    <w:rsid w:val="76B11377"/>
    <w:rsid w:val="76CB5037"/>
    <w:rsid w:val="776566A2"/>
    <w:rsid w:val="77B85F29"/>
    <w:rsid w:val="79120ED8"/>
    <w:rsid w:val="7A3E2ABF"/>
    <w:rsid w:val="7A4B6B6D"/>
    <w:rsid w:val="7AFB17FB"/>
    <w:rsid w:val="7BCB020B"/>
    <w:rsid w:val="7BEC23EC"/>
    <w:rsid w:val="7C451387"/>
    <w:rsid w:val="7C6A420A"/>
    <w:rsid w:val="7D8E3EED"/>
    <w:rsid w:val="7DBC2376"/>
    <w:rsid w:val="7DF13AE4"/>
    <w:rsid w:val="7E4076C6"/>
    <w:rsid w:val="7E916EF3"/>
    <w:rsid w:val="7E945C4C"/>
    <w:rsid w:val="7FF0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lx</cp:lastModifiedBy>
  <cp:lastPrinted>2021-05-13T09:13:00Z</cp:lastPrinted>
  <dcterms:modified xsi:type="dcterms:W3CDTF">2021-05-17T08:08:04Z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08EAB8DEA17D4A58BA0DEA862B05FB7B</vt:lpwstr>
  </property>
</Properties>
</file>