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D552E">
      <w:pPr>
        <w:rPr>
          <w:rFonts w:hint="eastAsia"/>
        </w:rPr>
      </w:pPr>
    </w:p>
    <w:p w14:paraId="0EC57912">
      <w:pPr>
        <w:rPr>
          <w:rFonts w:hint="eastAsia"/>
        </w:rPr>
      </w:pPr>
    </w:p>
    <w:p w14:paraId="4BD222CD">
      <w:pPr>
        <w:pStyle w:val="22"/>
        <w:bidi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陕西省工程造价咨询企业</w:t>
      </w:r>
    </w:p>
    <w:p w14:paraId="6542B4F8">
      <w:pPr>
        <w:pStyle w:val="22"/>
        <w:bidi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数字化转型指导意见2.0</w:t>
      </w:r>
    </w:p>
    <w:p w14:paraId="741DF136">
      <w:pPr>
        <w:pStyle w:val="22"/>
        <w:bidi w:val="0"/>
        <w:rPr>
          <w:rFonts w:hint="eastAsia" w:ascii="方正小标宋简体" w:hAnsi="方正小标宋简体" w:eastAsia="方正小标宋简体" w:cs="方正小标宋简体"/>
          <w:sz w:val="36"/>
          <w:szCs w:val="36"/>
          <w:lang w:val="en-US" w:eastAsia="zh-CN"/>
        </w:rPr>
      </w:pPr>
    </w:p>
    <w:p w14:paraId="7490FD99">
      <w:pPr>
        <w:pStyle w:val="22"/>
        <w:bidi w:val="0"/>
        <w:rPr>
          <w:rFonts w:hint="eastAsia" w:ascii="方正小标宋简体" w:hAnsi="方正小标宋简体" w:eastAsia="方正小标宋简体" w:cs="方正小标宋简体"/>
          <w:sz w:val="36"/>
          <w:szCs w:val="36"/>
          <w:lang w:val="en-US" w:eastAsia="zh-CN"/>
        </w:rPr>
      </w:pPr>
    </w:p>
    <w:p w14:paraId="23C8444E">
      <w:pPr>
        <w:pStyle w:val="22"/>
        <w:bidi w:val="0"/>
        <w:rPr>
          <w:rFonts w:hint="eastAsia" w:ascii="方正小标宋简体" w:hAnsi="方正小标宋简体" w:eastAsia="方正小标宋简体" w:cs="方正小标宋简体"/>
          <w:sz w:val="36"/>
          <w:szCs w:val="36"/>
          <w:lang w:val="en-US" w:eastAsia="zh-CN"/>
        </w:rPr>
      </w:pPr>
    </w:p>
    <w:p w14:paraId="41E9BA5D">
      <w:pPr>
        <w:pStyle w:val="22"/>
        <w:bidi w:val="0"/>
        <w:rPr>
          <w:rFonts w:hint="eastAsia" w:ascii="方正小标宋简体" w:hAnsi="方正小标宋简体" w:eastAsia="方正小标宋简体" w:cs="方正小标宋简体"/>
          <w:sz w:val="36"/>
          <w:szCs w:val="36"/>
          <w:lang w:val="en-US" w:eastAsia="zh-CN"/>
        </w:rPr>
      </w:pPr>
    </w:p>
    <w:p w14:paraId="3C0D6DC4">
      <w:pPr>
        <w:pStyle w:val="22"/>
        <w:bidi w:val="0"/>
        <w:rPr>
          <w:rFonts w:hint="eastAsia" w:ascii="方正小标宋简体" w:hAnsi="方正小标宋简体" w:eastAsia="方正小标宋简体" w:cs="方正小标宋简体"/>
          <w:sz w:val="36"/>
          <w:szCs w:val="36"/>
          <w:lang w:val="en-US" w:eastAsia="zh-CN"/>
        </w:rPr>
      </w:pPr>
    </w:p>
    <w:p w14:paraId="63B79991">
      <w:pPr>
        <w:pStyle w:val="22"/>
        <w:bidi w:val="0"/>
        <w:rPr>
          <w:rFonts w:hint="eastAsia" w:ascii="方正小标宋简体" w:hAnsi="方正小标宋简体" w:eastAsia="方正小标宋简体" w:cs="方正小标宋简体"/>
          <w:sz w:val="36"/>
          <w:szCs w:val="36"/>
          <w:lang w:val="en-US" w:eastAsia="zh-CN"/>
        </w:rPr>
      </w:pPr>
    </w:p>
    <w:p w14:paraId="7256F471">
      <w:pPr>
        <w:pStyle w:val="22"/>
        <w:bidi w:val="0"/>
        <w:rPr>
          <w:rFonts w:hint="eastAsia" w:ascii="方正小标宋简体" w:hAnsi="方正小标宋简体" w:eastAsia="方正小标宋简体" w:cs="方正小标宋简体"/>
          <w:sz w:val="36"/>
          <w:szCs w:val="36"/>
          <w:lang w:val="en-US" w:eastAsia="zh-CN"/>
        </w:rPr>
      </w:pPr>
    </w:p>
    <w:p w14:paraId="2CBF66DC">
      <w:pPr>
        <w:rPr>
          <w:rFonts w:hint="eastAsia" w:ascii="方正小标宋简体" w:hAnsi="方正小标宋简体" w:eastAsia="方正小标宋简体" w:cs="方正小标宋简体"/>
          <w:sz w:val="36"/>
          <w:szCs w:val="36"/>
          <w:lang w:val="en-US" w:eastAsia="zh-CN"/>
        </w:rPr>
      </w:pPr>
    </w:p>
    <w:p w14:paraId="1A37E50E">
      <w:pPr>
        <w:rPr>
          <w:rFonts w:hint="eastAsia" w:ascii="方正小标宋简体" w:hAnsi="方正小标宋简体" w:eastAsia="方正小标宋简体" w:cs="方正小标宋简体"/>
          <w:sz w:val="36"/>
          <w:szCs w:val="36"/>
          <w:lang w:val="en-US" w:eastAsia="zh-CN"/>
        </w:rPr>
      </w:pPr>
    </w:p>
    <w:p w14:paraId="56DD18AA">
      <w:pPr>
        <w:pStyle w:val="22"/>
        <w:bidi w:val="0"/>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陕西省建设工程造价协会制定</w:t>
      </w:r>
    </w:p>
    <w:p w14:paraId="7E974014">
      <w:pPr>
        <w:pStyle w:val="22"/>
        <w:bidi w:val="0"/>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2025年7月发布</w:t>
      </w:r>
    </w:p>
    <w:p w14:paraId="75F512B8">
      <w:pPr>
        <w:pStyle w:val="22"/>
        <w:bidi w:val="0"/>
        <w:ind w:left="0" w:leftChars="0" w:firstLine="0" w:firstLineChars="0"/>
        <w:jc w:val="center"/>
        <w:rPr>
          <w:rFonts w:hint="eastAsia" w:ascii="方正小标宋简体" w:hAnsi="方正小标宋简体" w:eastAsia="方正小标宋简体" w:cs="方正小标宋简体"/>
          <w:sz w:val="36"/>
          <w:szCs w:val="36"/>
          <w:lang w:val="en-US" w:eastAsia="zh-CN"/>
        </w:rPr>
        <w:sectPr>
          <w:headerReference r:id="rId3" w:type="default"/>
          <w:pgSz w:w="11906" w:h="16838"/>
          <w:pgMar w:top="1440" w:right="1800" w:bottom="1440" w:left="1800" w:header="851" w:footer="992" w:gutter="0"/>
          <w:pgNumType w:fmt="decimal"/>
          <w:cols w:space="0" w:num="1"/>
          <w:docGrid w:type="lines" w:linePitch="387" w:charSpace="0"/>
        </w:sectPr>
      </w:pPr>
    </w:p>
    <w:p w14:paraId="0A3C71C3">
      <w:pPr>
        <w:pStyle w:val="22"/>
        <w:bidi w:val="0"/>
        <w:ind w:left="0" w:leftChars="0" w:firstLine="0" w:firstLineChars="0"/>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目   录</w:t>
      </w:r>
    </w:p>
    <w:p w14:paraId="210A85C9">
      <w:pPr>
        <w:pStyle w:val="22"/>
        <w:keepNext w:val="0"/>
        <w:keepLines w:val="0"/>
        <w:pageBreakBefore w:val="0"/>
        <w:numPr>
          <w:ilvl w:val="0"/>
          <w:numId w:val="0"/>
        </w:numPr>
        <w:kinsoku/>
        <w:wordWrap/>
        <w:overflowPunct/>
        <w:topLinePunct w:val="0"/>
        <w:autoSpaceDE/>
        <w:autoSpaceDN/>
        <w:bidi w:val="0"/>
        <w:adjustRightInd/>
        <w:snapToGrid/>
        <w:spacing w:before="0" w:after="0" w:line="360" w:lineRule="exact"/>
        <w:ind w:leftChars="0" w:firstLine="0" w:firstLineChars="0"/>
        <w:jc w:val="left"/>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一、数字化转型背景与意义 .................................3</w:t>
      </w:r>
    </w:p>
    <w:p w14:paraId="1F47D5A7">
      <w:pPr>
        <w:keepNext w:val="0"/>
        <w:keepLines w:val="0"/>
        <w:pageBreakBefore w:val="0"/>
        <w:numPr>
          <w:ilvl w:val="0"/>
          <w:numId w:val="0"/>
        </w:numPr>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二、数字化转型工作内容 ...................................5</w:t>
      </w:r>
    </w:p>
    <w:p w14:paraId="6AC4397E">
      <w:pPr>
        <w:keepNext w:val="0"/>
        <w:keepLines w:val="0"/>
        <w:pageBreakBefore w:val="0"/>
        <w:numPr>
          <w:ilvl w:val="0"/>
          <w:numId w:val="0"/>
        </w:numPr>
        <w:kinsoku/>
        <w:wordWrap/>
        <w:overflowPunct/>
        <w:topLinePunct w:val="0"/>
        <w:autoSpaceDE/>
        <w:autoSpaceDN/>
        <w:bidi w:val="0"/>
        <w:adjustRightInd/>
        <w:snapToGrid/>
        <w:spacing w:line="360" w:lineRule="exact"/>
        <w:ind w:firstLine="280" w:firstLineChars="1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2.1 明确数字化转型的目标 ...............................6</w:t>
      </w:r>
    </w:p>
    <w:p w14:paraId="54EA997B">
      <w:pPr>
        <w:keepNext w:val="0"/>
        <w:keepLines w:val="0"/>
        <w:pageBreakBefore w:val="0"/>
        <w:numPr>
          <w:ilvl w:val="0"/>
          <w:numId w:val="0"/>
        </w:numPr>
        <w:kinsoku/>
        <w:wordWrap/>
        <w:overflowPunct/>
        <w:topLinePunct w:val="0"/>
        <w:autoSpaceDE/>
        <w:autoSpaceDN/>
        <w:bidi w:val="0"/>
        <w:adjustRightInd/>
        <w:snapToGrid/>
        <w:spacing w:line="360" w:lineRule="exact"/>
        <w:ind w:firstLine="280" w:firstLineChars="1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2.2 关键技术与应用 .....................................6</w:t>
      </w:r>
    </w:p>
    <w:p w14:paraId="553FD3CD">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2.2.1 云计算技术 .....................................7</w:t>
      </w:r>
    </w:p>
    <w:p w14:paraId="404A6336">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2.2.2 数据分析、处理技术 .............................9</w:t>
      </w:r>
    </w:p>
    <w:p w14:paraId="6E988905">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2.2.3 人工智能技术 ..................................10</w:t>
      </w:r>
    </w:p>
    <w:p w14:paraId="5AB7A18D">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2.2.4 BIM技术 .......................................12</w:t>
      </w:r>
    </w:p>
    <w:p w14:paraId="4ACB0A9B">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default"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2.2.5 区块链及数字存证技术 ..........................14</w:t>
      </w:r>
    </w:p>
    <w:p w14:paraId="657C9B84">
      <w:pPr>
        <w:keepNext w:val="0"/>
        <w:keepLines w:val="0"/>
        <w:pageBreakBefore w:val="0"/>
        <w:numPr>
          <w:ilvl w:val="0"/>
          <w:numId w:val="0"/>
        </w:numPr>
        <w:kinsoku/>
        <w:wordWrap/>
        <w:overflowPunct/>
        <w:topLinePunct w:val="0"/>
        <w:autoSpaceDE/>
        <w:autoSpaceDN/>
        <w:bidi w:val="0"/>
        <w:adjustRightInd/>
        <w:snapToGrid/>
        <w:spacing w:line="360" w:lineRule="exact"/>
        <w:ind w:firstLine="280" w:firstLineChars="1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2.3 数字化转型的关键方向与重点领域 ....................15</w:t>
      </w:r>
    </w:p>
    <w:p w14:paraId="58151C06">
      <w:pPr>
        <w:keepNext w:val="0"/>
        <w:keepLines w:val="0"/>
        <w:pageBreakBefore w:val="0"/>
        <w:numPr>
          <w:ilvl w:val="0"/>
          <w:numId w:val="0"/>
        </w:numPr>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 xml:space="preserve">    2.3.1 造价咨询企业数字化转型框架 ....................15</w:t>
      </w:r>
    </w:p>
    <w:p w14:paraId="4DE631A7">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2.3.2 “一体化”的业务管理平台建设 ..................16</w:t>
      </w:r>
    </w:p>
    <w:p w14:paraId="70F8ED18">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2.3.3“高质量、可信”数据管理体系的建设 .............28</w:t>
      </w:r>
    </w:p>
    <w:p w14:paraId="57AE82D9">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2.3.4 智能复核系统 ..................................37</w:t>
      </w:r>
    </w:p>
    <w:p w14:paraId="4DE5A404">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default"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2.3.5 以投资控制为核心的全过程工程咨询服务平台 ......39</w:t>
      </w:r>
    </w:p>
    <w:p w14:paraId="22D8D37D">
      <w:pPr>
        <w:keepNext w:val="0"/>
        <w:keepLines w:val="0"/>
        <w:pageBreakBefore w:val="0"/>
        <w:numPr>
          <w:ilvl w:val="0"/>
          <w:numId w:val="0"/>
        </w:numPr>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三、安全与风险管理 ......................................48</w:t>
      </w:r>
    </w:p>
    <w:p w14:paraId="01B866C0">
      <w:pPr>
        <w:keepNext w:val="0"/>
        <w:keepLines w:val="0"/>
        <w:pageBreakBefore w:val="0"/>
        <w:numPr>
          <w:ilvl w:val="0"/>
          <w:numId w:val="0"/>
        </w:numPr>
        <w:kinsoku/>
        <w:wordWrap/>
        <w:overflowPunct/>
        <w:topLinePunct w:val="0"/>
        <w:autoSpaceDE/>
        <w:autoSpaceDN/>
        <w:bidi w:val="0"/>
        <w:adjustRightInd/>
        <w:snapToGrid/>
        <w:spacing w:line="360" w:lineRule="exact"/>
        <w:ind w:firstLine="280" w:firstLineChars="1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3.1 数据安全与隐私保护机制 ............................48</w:t>
      </w:r>
    </w:p>
    <w:p w14:paraId="75A3E698">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3.1.1 数据要素识别与分类分级 ........................48</w:t>
      </w:r>
    </w:p>
    <w:p w14:paraId="0DD72C6D">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default"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3.1.2 设计分级授权访问控制 ..........................48</w:t>
      </w:r>
    </w:p>
    <w:p w14:paraId="2495EBDF">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3.1.3 隐私数据脱敏处理 ..............................49</w:t>
      </w:r>
    </w:p>
    <w:p w14:paraId="289B143D">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default"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3.1.4 数据加密防护 ..................................49</w:t>
      </w:r>
    </w:p>
    <w:p w14:paraId="0A922659">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default"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3.1.5 操作审计与追溯 ................................49</w:t>
      </w:r>
    </w:p>
    <w:p w14:paraId="09159675">
      <w:pPr>
        <w:keepNext w:val="0"/>
        <w:keepLines w:val="0"/>
        <w:pageBreakBefore w:val="0"/>
        <w:numPr>
          <w:ilvl w:val="0"/>
          <w:numId w:val="0"/>
        </w:numPr>
        <w:kinsoku/>
        <w:wordWrap/>
        <w:overflowPunct/>
        <w:topLinePunct w:val="0"/>
        <w:autoSpaceDE/>
        <w:autoSpaceDN/>
        <w:bidi w:val="0"/>
        <w:adjustRightInd/>
        <w:snapToGrid/>
        <w:spacing w:line="360" w:lineRule="exact"/>
        <w:ind w:firstLine="280" w:firstLineChars="1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3.2 风险评估与应对策略 ................................49</w:t>
      </w:r>
    </w:p>
    <w:p w14:paraId="2394C0AA">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3.2.1 实时安全风险监测 ..............................49</w:t>
      </w:r>
    </w:p>
    <w:p w14:paraId="73E66634">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default"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3.2.2 动态风险评估模型 ..............................50</w:t>
      </w:r>
    </w:p>
    <w:p w14:paraId="2DC3435B">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default"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3.2.3 安全策略定期更新 ..............................50</w:t>
      </w:r>
    </w:p>
    <w:p w14:paraId="3665146F">
      <w:pPr>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textAlignment w:val="auto"/>
        <w:rPr>
          <w:rFonts w:hint="default"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3.2.4 应急响应管理 ..................................50</w:t>
      </w:r>
    </w:p>
    <w:p w14:paraId="74DF014F">
      <w:pPr>
        <w:keepNext w:val="0"/>
        <w:keepLines w:val="0"/>
        <w:pageBreakBefore w:val="0"/>
        <w:numPr>
          <w:ilvl w:val="0"/>
          <w:numId w:val="0"/>
        </w:numPr>
        <w:kinsoku/>
        <w:wordWrap/>
        <w:overflowPunct/>
        <w:topLinePunct w:val="0"/>
        <w:autoSpaceDE/>
        <w:autoSpaceDN/>
        <w:bidi w:val="0"/>
        <w:adjustRightInd/>
        <w:snapToGrid/>
        <w:spacing w:line="360" w:lineRule="exact"/>
        <w:ind w:firstLine="0" w:firstLineChars="0"/>
        <w:textAlignment w:val="auto"/>
        <w:rPr>
          <w:rFonts w:hint="default"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四、成效评估与持续改进 ..................................51</w:t>
      </w:r>
    </w:p>
    <w:p w14:paraId="230D0C6E">
      <w:pPr>
        <w:keepNext w:val="0"/>
        <w:keepLines w:val="0"/>
        <w:pageBreakBefore w:val="0"/>
        <w:numPr>
          <w:ilvl w:val="0"/>
          <w:numId w:val="0"/>
        </w:numPr>
        <w:kinsoku/>
        <w:wordWrap/>
        <w:overflowPunct/>
        <w:topLinePunct w:val="0"/>
        <w:autoSpaceDE/>
        <w:autoSpaceDN/>
        <w:bidi w:val="0"/>
        <w:adjustRightInd/>
        <w:snapToGrid/>
        <w:spacing w:line="360" w:lineRule="exact"/>
        <w:ind w:firstLine="280" w:firstLineChars="100"/>
        <w:textAlignment w:val="auto"/>
        <w:rPr>
          <w:rFonts w:hint="default"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4.1 设定转型成效评估指标 ..............................51</w:t>
      </w:r>
    </w:p>
    <w:p w14:paraId="1DF3034D">
      <w:pPr>
        <w:keepNext w:val="0"/>
        <w:keepLines w:val="0"/>
        <w:pageBreakBefore w:val="0"/>
        <w:numPr>
          <w:ilvl w:val="0"/>
          <w:numId w:val="0"/>
        </w:numPr>
        <w:kinsoku/>
        <w:wordWrap/>
        <w:overflowPunct/>
        <w:topLinePunct w:val="0"/>
        <w:autoSpaceDE/>
        <w:autoSpaceDN/>
        <w:bidi w:val="0"/>
        <w:adjustRightInd/>
        <w:snapToGrid/>
        <w:spacing w:line="360" w:lineRule="exact"/>
        <w:ind w:firstLine="280" w:firstLineChars="100"/>
        <w:textAlignment w:val="auto"/>
        <w:rPr>
          <w:rFonts w:hint="default"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4.2 建立持续改进与反馈机制 ............................52</w:t>
      </w:r>
    </w:p>
    <w:p w14:paraId="167DDAB2">
      <w:pPr>
        <w:keepNext w:val="0"/>
        <w:keepLines w:val="0"/>
        <w:pageBreakBefore w:val="0"/>
        <w:numPr>
          <w:ilvl w:val="0"/>
          <w:numId w:val="0"/>
        </w:numPr>
        <w:kinsoku/>
        <w:wordWrap/>
        <w:overflowPunct/>
        <w:topLinePunct w:val="0"/>
        <w:autoSpaceDE/>
        <w:autoSpaceDN/>
        <w:bidi w:val="0"/>
        <w:adjustRightInd/>
        <w:snapToGrid/>
        <w:spacing w:line="360" w:lineRule="exact"/>
        <w:ind w:firstLine="0" w:firstLineChars="0"/>
        <w:textAlignment w:val="auto"/>
        <w:rPr>
          <w:rFonts w:hint="default"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五、保障与促进措施 ......................................52</w:t>
      </w:r>
    </w:p>
    <w:p w14:paraId="1F9C3B9C">
      <w:pPr>
        <w:keepNext w:val="0"/>
        <w:keepLines w:val="0"/>
        <w:pageBreakBefore w:val="0"/>
        <w:numPr>
          <w:ilvl w:val="0"/>
          <w:numId w:val="0"/>
        </w:numPr>
        <w:kinsoku/>
        <w:wordWrap/>
        <w:overflowPunct/>
        <w:topLinePunct w:val="0"/>
        <w:autoSpaceDE/>
        <w:autoSpaceDN/>
        <w:bidi w:val="0"/>
        <w:adjustRightInd/>
        <w:snapToGrid/>
        <w:spacing w:line="360" w:lineRule="exact"/>
        <w:ind w:firstLine="280" w:firstLineChars="100"/>
        <w:textAlignment w:val="auto"/>
        <w:rPr>
          <w:rFonts w:hint="default"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5.1 企业决策及资源保障 ................................52</w:t>
      </w:r>
    </w:p>
    <w:p w14:paraId="17A3C008">
      <w:pPr>
        <w:keepNext w:val="0"/>
        <w:keepLines w:val="0"/>
        <w:pageBreakBefore w:val="0"/>
        <w:numPr>
          <w:ilvl w:val="0"/>
          <w:numId w:val="0"/>
        </w:numPr>
        <w:kinsoku/>
        <w:wordWrap/>
        <w:overflowPunct/>
        <w:topLinePunct w:val="0"/>
        <w:autoSpaceDE/>
        <w:autoSpaceDN/>
        <w:bidi w:val="0"/>
        <w:adjustRightInd/>
        <w:snapToGrid/>
        <w:spacing w:line="360" w:lineRule="exact"/>
        <w:ind w:firstLine="280" w:firstLineChars="1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5.2 企业人才保障 ......................................53</w:t>
      </w:r>
    </w:p>
    <w:p w14:paraId="35DD3D9A">
      <w:pPr>
        <w:keepNext w:val="0"/>
        <w:keepLines w:val="0"/>
        <w:pageBreakBefore w:val="0"/>
        <w:numPr>
          <w:ilvl w:val="0"/>
          <w:numId w:val="0"/>
        </w:numPr>
        <w:kinsoku/>
        <w:wordWrap/>
        <w:overflowPunct/>
        <w:topLinePunct w:val="0"/>
        <w:autoSpaceDE/>
        <w:autoSpaceDN/>
        <w:bidi w:val="0"/>
        <w:adjustRightInd/>
        <w:snapToGrid/>
        <w:spacing w:line="360" w:lineRule="exact"/>
        <w:ind w:firstLine="280" w:firstLineChars="1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5.3 企业机制保障 ......................................53</w:t>
      </w:r>
    </w:p>
    <w:p w14:paraId="00CB1AED">
      <w:pPr>
        <w:keepNext w:val="0"/>
        <w:keepLines w:val="0"/>
        <w:pageBreakBefore w:val="0"/>
        <w:numPr>
          <w:ilvl w:val="0"/>
          <w:numId w:val="0"/>
        </w:numPr>
        <w:kinsoku/>
        <w:wordWrap/>
        <w:overflowPunct/>
        <w:topLinePunct w:val="0"/>
        <w:autoSpaceDE/>
        <w:autoSpaceDN/>
        <w:bidi w:val="0"/>
        <w:adjustRightInd/>
        <w:snapToGrid/>
        <w:spacing w:line="360" w:lineRule="exact"/>
        <w:ind w:firstLine="280" w:firstLineChars="1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5.4 市场环境保障 ......................................54</w:t>
      </w:r>
    </w:p>
    <w:p w14:paraId="59CAC57B">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color w:val="auto"/>
          <w:kern w:val="2"/>
          <w:sz w:val="28"/>
          <w:szCs w:val="28"/>
          <w:lang w:val="en-US" w:eastAsia="zh-CN" w:bidi="ar-SA"/>
        </w:rPr>
        <w:sectPr>
          <w:footerReference r:id="rId4" w:type="default"/>
          <w:pgSz w:w="11906" w:h="16838"/>
          <w:pgMar w:top="1440" w:right="1800" w:bottom="1440" w:left="1800" w:header="851" w:footer="992" w:gutter="0"/>
          <w:pgNumType w:fmt="decimal" w:start="1"/>
          <w:cols w:space="0" w:num="1"/>
          <w:docGrid w:type="lines" w:linePitch="387" w:charSpace="0"/>
        </w:sectPr>
      </w:pPr>
    </w:p>
    <w:p w14:paraId="309822F1">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 w:val="0"/>
          <w:color w:val="auto"/>
          <w:kern w:val="2"/>
          <w:sz w:val="28"/>
          <w:szCs w:val="28"/>
          <w:lang w:val="en-US" w:eastAsia="zh-CN" w:bidi="ar-SA"/>
        </w:rPr>
      </w:pPr>
    </w:p>
    <w:p w14:paraId="66DBC036">
      <w:pPr>
        <w:pStyle w:val="22"/>
        <w:pageBreakBefore w:val="0"/>
        <w:kinsoku/>
        <w:wordWrap/>
        <w:overflowPunct/>
        <w:topLinePunct w:val="0"/>
        <w:autoSpaceDE/>
        <w:autoSpaceDN/>
        <w:bidi w:val="0"/>
        <w:spacing w:line="560" w:lineRule="exact"/>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b w:val="0"/>
          <w:bCs/>
          <w:sz w:val="44"/>
          <w:szCs w:val="44"/>
        </w:rPr>
        <w:t>陕西省工程造价咨询企业</w:t>
      </w:r>
    </w:p>
    <w:p w14:paraId="41F1C68F">
      <w:pPr>
        <w:pStyle w:val="22"/>
        <w:pageBreakBefore w:val="0"/>
        <w:kinsoku/>
        <w:wordWrap/>
        <w:overflowPunct/>
        <w:topLinePunct w:val="0"/>
        <w:autoSpaceDE/>
        <w:autoSpaceDN/>
        <w:bidi w:val="0"/>
        <w:spacing w:line="560" w:lineRule="exac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val="0"/>
          <w:bCs/>
          <w:sz w:val="44"/>
          <w:szCs w:val="44"/>
        </w:rPr>
        <w:t>数字化转型指导意见2.0</w:t>
      </w:r>
    </w:p>
    <w:p w14:paraId="0D2F16EF">
      <w:pPr>
        <w:pageBreakBefore w:val="0"/>
        <w:kinsoku/>
        <w:wordWrap/>
        <w:overflowPunct/>
        <w:topLinePunct w:val="0"/>
        <w:autoSpaceDE/>
        <w:autoSpaceDN/>
        <w:bidi w:val="0"/>
        <w:spacing w:line="560" w:lineRule="exact"/>
        <w:rPr>
          <w:rFonts w:hint="default" w:eastAsia="微软雅黑"/>
          <w:sz w:val="28"/>
          <w:szCs w:val="28"/>
          <w:lang w:val="en-US" w:eastAsia="zh-CN"/>
        </w:rPr>
      </w:pPr>
      <w:r>
        <w:rPr>
          <w:rFonts w:hint="eastAsia"/>
          <w:lang w:val="en-US" w:eastAsia="zh-CN"/>
        </w:rPr>
        <w:t xml:space="preserve">                     </w:t>
      </w:r>
      <w:r>
        <w:rPr>
          <w:rFonts w:hint="eastAsia"/>
          <w:sz w:val="28"/>
          <w:szCs w:val="28"/>
          <w:lang w:val="en-US" w:eastAsia="zh-CN"/>
        </w:rPr>
        <w:t xml:space="preserve">   </w:t>
      </w:r>
      <w:r>
        <w:rPr>
          <w:rFonts w:hint="eastAsia"/>
          <w:sz w:val="30"/>
          <w:szCs w:val="30"/>
          <w:lang w:val="en-US" w:eastAsia="zh-CN"/>
        </w:rPr>
        <w:t xml:space="preserve">     </w:t>
      </w:r>
    </w:p>
    <w:p w14:paraId="170A910D">
      <w:pPr>
        <w:pStyle w:val="2"/>
        <w:pageBreakBefore w:val="0"/>
        <w:kinsoku/>
        <w:wordWrap/>
        <w:overflowPunct/>
        <w:topLinePunct w:val="0"/>
        <w:autoSpaceDE/>
        <w:autoSpaceDN/>
        <w:bidi w:val="0"/>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一、数字化转型背景与意义</w:t>
      </w:r>
    </w:p>
    <w:p w14:paraId="5FBFAF58">
      <w:pPr>
        <w:pStyle w:val="4"/>
        <w:pageBreakBefore w:val="0"/>
        <w:kinsoku/>
        <w:wordWrap/>
        <w:overflowPunct/>
        <w:topLinePunct w:val="0"/>
        <w:autoSpaceDE/>
        <w:autoSpaceDN/>
        <w:bidi w:val="0"/>
        <w:spacing w:line="560" w:lineRule="exact"/>
        <w:ind w:firstLine="60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2020年，住房和城乡建设部办公厅</w:t>
      </w:r>
      <w:r>
        <w:rPr>
          <w:rFonts w:hint="eastAsia" w:ascii="仿宋_GB2312" w:hAnsi="仿宋_GB2312" w:eastAsia="仿宋_GB2312" w:cs="仿宋_GB2312"/>
          <w:color w:val="auto"/>
          <w:sz w:val="32"/>
          <w:szCs w:val="32"/>
          <w:lang w:val="en-US" w:eastAsia="zh-CN"/>
        </w:rPr>
        <w:t>发布</w:t>
      </w:r>
      <w:r>
        <w:rPr>
          <w:rFonts w:hint="eastAsia" w:ascii="仿宋_GB2312" w:hAnsi="仿宋_GB2312" w:eastAsia="仿宋_GB2312" w:cs="仿宋_GB2312"/>
          <w:color w:val="auto"/>
          <w:sz w:val="32"/>
          <w:szCs w:val="32"/>
        </w:rPr>
        <w:t>《工程造价改革方案》，提出通过完善工程计价依据发布机制、加强工程造价数据积累、强化建设单位造价管控责任、严格施工合同履约管理等措施，进一步完善工程造价市场形成机制。</w:t>
      </w:r>
      <w:r>
        <w:rPr>
          <w:rFonts w:hint="eastAsia" w:ascii="仿宋_GB2312" w:hAnsi="仿宋_GB2312" w:eastAsia="仿宋_GB2312" w:cs="仿宋_GB2312"/>
          <w:color w:val="auto"/>
          <w:sz w:val="32"/>
          <w:szCs w:val="32"/>
          <w:lang w:val="en-US" w:eastAsia="zh-CN"/>
        </w:rPr>
        <w:t>2021年，国务院《关于深化“证照分离”改革进一步激发市场主体发展活力的通知》和住建部</w:t>
      </w:r>
      <w:r>
        <w:rPr>
          <w:rFonts w:hint="eastAsia" w:ascii="仿宋_GB2312" w:hAnsi="仿宋_GB2312" w:eastAsia="仿宋_GB2312" w:cs="仿宋_GB2312"/>
          <w:color w:val="auto"/>
          <w:sz w:val="32"/>
          <w:szCs w:val="32"/>
        </w:rPr>
        <w:t>《关于取消工程造价咨询企业资质审批加强事中事后监管的通知》</w:t>
      </w:r>
      <w:r>
        <w:rPr>
          <w:rFonts w:hint="eastAsia" w:ascii="仿宋_GB2312" w:hAnsi="仿宋_GB2312" w:eastAsia="仿宋_GB2312" w:cs="仿宋_GB2312"/>
          <w:color w:val="auto"/>
          <w:sz w:val="32"/>
          <w:szCs w:val="32"/>
          <w:lang w:val="en-US" w:eastAsia="zh-CN"/>
        </w:rPr>
        <w:t>先后发布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明确取消工程造价咨询企业资质审批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工程造价咨询行业从此进入新的发展阶段。</w:t>
      </w:r>
    </w:p>
    <w:p w14:paraId="2B5DF2A5">
      <w:pPr>
        <w:pStyle w:val="4"/>
        <w:pageBreakBefore w:val="0"/>
        <w:kinsoku/>
        <w:wordWrap/>
        <w:overflowPunct/>
        <w:topLinePunct w:val="0"/>
        <w:autoSpaceDE/>
        <w:autoSpaceDN/>
        <w:bidi w:val="0"/>
        <w:spacing w:line="560" w:lineRule="exact"/>
        <w:ind w:firstLine="60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为推动陕西工程造价咨询行业高质量发展，适应工程领域发展需求</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sz w:val="32"/>
          <w:szCs w:val="32"/>
        </w:rPr>
        <w:t>陕西省建设工程造价协会于202</w:t>
      </w:r>
      <w:r>
        <w:rPr>
          <w:rFonts w:hint="eastAsia" w:ascii="仿宋_GB2312" w:hAnsi="仿宋_GB2312" w:eastAsia="仿宋_GB2312" w:cs="仿宋_GB2312"/>
          <w:sz w:val="32"/>
          <w:szCs w:val="32"/>
        </w:rPr>
        <w:t>1年11月发布了《陕西</w:t>
      </w:r>
      <w:r>
        <w:rPr>
          <w:rFonts w:hint="eastAsia" w:ascii="仿宋_GB2312" w:hAnsi="仿宋_GB2312" w:eastAsia="仿宋_GB2312" w:cs="仿宋_GB2312"/>
          <w:color w:val="auto"/>
          <w:sz w:val="32"/>
          <w:szCs w:val="32"/>
        </w:rPr>
        <w:t>省建设工程造价管理协会关于工</w:t>
      </w:r>
      <w:bookmarkStart w:id="0" w:name="_GoBack"/>
      <w:bookmarkEnd w:id="0"/>
      <w:r>
        <w:rPr>
          <w:rFonts w:hint="eastAsia" w:ascii="仿宋_GB2312" w:hAnsi="仿宋_GB2312" w:eastAsia="仿宋_GB2312" w:cs="仿宋_GB2312"/>
          <w:color w:val="auto"/>
          <w:sz w:val="32"/>
          <w:szCs w:val="32"/>
        </w:rPr>
        <w:t>程造价咨询企业数字化转型的指导意见》（以下简称：指导意见1.0版），提出了工程造价咨询企业数字化转型的目标、路径和落地措施，为造价咨询企业数字化转型提供了方向性、框架</w:t>
      </w:r>
      <w:r>
        <w:rPr>
          <w:rFonts w:hint="eastAsia" w:ascii="仿宋_GB2312" w:hAnsi="仿宋_GB2312" w:eastAsia="仿宋_GB2312" w:cs="仿宋_GB2312"/>
          <w:color w:val="auto"/>
          <w:sz w:val="32"/>
          <w:szCs w:val="32"/>
          <w:lang w:eastAsia="zh-CN"/>
        </w:rPr>
        <w:t>性</w:t>
      </w:r>
      <w:r>
        <w:rPr>
          <w:rFonts w:hint="eastAsia" w:ascii="仿宋_GB2312" w:hAnsi="仿宋_GB2312" w:eastAsia="仿宋_GB2312" w:cs="仿宋_GB2312"/>
          <w:color w:val="auto"/>
          <w:sz w:val="32"/>
          <w:szCs w:val="32"/>
        </w:rPr>
        <w:t>的指导。</w:t>
      </w:r>
    </w:p>
    <w:p w14:paraId="62C3F527">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“指导意见1.0版”发布后，</w:t>
      </w:r>
      <w:r>
        <w:rPr>
          <w:rFonts w:hint="eastAsia" w:ascii="仿宋_GB2312" w:hAnsi="仿宋_GB2312" w:eastAsia="仿宋_GB2312" w:cs="仿宋_GB2312"/>
          <w:color w:val="auto"/>
          <w:sz w:val="32"/>
          <w:szCs w:val="32"/>
          <w:lang w:val="en-US" w:eastAsia="zh-CN"/>
        </w:rPr>
        <w:t>我省</w:t>
      </w:r>
      <w:r>
        <w:rPr>
          <w:rFonts w:hint="eastAsia" w:ascii="仿宋_GB2312" w:hAnsi="仿宋_GB2312" w:eastAsia="仿宋_GB2312" w:cs="仿宋_GB2312"/>
          <w:color w:val="auto"/>
          <w:sz w:val="32"/>
          <w:szCs w:val="32"/>
        </w:rPr>
        <w:t>工程造价咨询企业</w:t>
      </w:r>
      <w:r>
        <w:rPr>
          <w:rFonts w:hint="eastAsia" w:ascii="仿宋_GB2312" w:hAnsi="仿宋_GB2312" w:eastAsia="仿宋_GB2312" w:cs="仿宋_GB2312"/>
          <w:color w:val="auto"/>
          <w:sz w:val="32"/>
          <w:szCs w:val="32"/>
          <w:lang w:val="en-US" w:eastAsia="zh-CN"/>
        </w:rPr>
        <w:t>和造价咨询人员</w:t>
      </w:r>
      <w:r>
        <w:rPr>
          <w:rFonts w:hint="eastAsia" w:ascii="仿宋_GB2312" w:hAnsi="仿宋_GB2312" w:eastAsia="仿宋_GB2312" w:cs="仿宋_GB2312"/>
          <w:color w:val="auto"/>
          <w:sz w:val="32"/>
          <w:szCs w:val="32"/>
        </w:rPr>
        <w:t>数字化</w:t>
      </w:r>
      <w:r>
        <w:rPr>
          <w:rFonts w:hint="eastAsia" w:ascii="仿宋_GB2312" w:hAnsi="仿宋_GB2312" w:eastAsia="仿宋_GB2312" w:cs="仿宋_GB2312"/>
          <w:color w:val="auto"/>
          <w:sz w:val="32"/>
          <w:szCs w:val="32"/>
          <w:lang w:val="en-US" w:eastAsia="zh-CN"/>
        </w:rPr>
        <w:t>认知显著加强，企业数字化</w:t>
      </w:r>
      <w:r>
        <w:rPr>
          <w:rFonts w:hint="eastAsia" w:ascii="仿宋_GB2312" w:hAnsi="仿宋_GB2312" w:eastAsia="仿宋_GB2312" w:cs="仿宋_GB2312"/>
          <w:color w:val="auto"/>
          <w:sz w:val="32"/>
          <w:szCs w:val="32"/>
        </w:rPr>
        <w:t>转型意愿不断提高，积极应用数字化工具和产品，数字化管理水平有了明显提升。但是，从总体上看，</w:t>
      </w:r>
      <w:r>
        <w:rPr>
          <w:rFonts w:hint="eastAsia" w:ascii="仿宋_GB2312" w:hAnsi="仿宋_GB2312" w:eastAsia="仿宋_GB2312" w:cs="仿宋_GB2312"/>
          <w:color w:val="auto"/>
          <w:sz w:val="32"/>
          <w:szCs w:val="32"/>
          <w:lang w:val="en-US" w:eastAsia="zh-CN"/>
        </w:rPr>
        <w:t>我省造价咨询企业</w:t>
      </w:r>
      <w:r>
        <w:rPr>
          <w:rFonts w:hint="eastAsia" w:ascii="仿宋_GB2312" w:hAnsi="仿宋_GB2312" w:eastAsia="仿宋_GB2312" w:cs="仿宋_GB2312"/>
          <w:color w:val="auto"/>
          <w:sz w:val="32"/>
          <w:szCs w:val="32"/>
        </w:rPr>
        <w:t>在推进数字化转型中，仍存在一系列需要认真解决的突出问题：相当一部分企业等待观望，企业内部资源配置缺乏转型的内在动力；企业数字技术人才严重不足，</w:t>
      </w:r>
      <w:r>
        <w:rPr>
          <w:rFonts w:hint="eastAsia" w:ascii="仿宋_GB2312" w:hAnsi="仿宋_GB2312" w:eastAsia="仿宋_GB2312" w:cs="仿宋_GB2312"/>
          <w:color w:val="auto"/>
          <w:sz w:val="32"/>
          <w:szCs w:val="32"/>
          <w:lang w:val="en-US" w:eastAsia="zh-CN"/>
        </w:rPr>
        <w:t>部分造价咨询人员</w:t>
      </w:r>
      <w:r>
        <w:rPr>
          <w:rFonts w:hint="eastAsia" w:ascii="仿宋_GB2312" w:hAnsi="仿宋_GB2312" w:eastAsia="仿宋_GB2312" w:cs="仿宋_GB2312"/>
          <w:color w:val="auto"/>
          <w:sz w:val="32"/>
          <w:szCs w:val="32"/>
        </w:rPr>
        <w:t>缺乏转型积极性，个别员工甚至还有抵触情绪；有的企业在转型中只注重</w:t>
      </w:r>
      <w:r>
        <w:rPr>
          <w:rFonts w:hint="eastAsia" w:ascii="仿宋_GB2312" w:hAnsi="仿宋_GB2312" w:eastAsia="仿宋_GB2312" w:cs="仿宋_GB2312"/>
          <w:color w:val="auto"/>
          <w:sz w:val="32"/>
          <w:szCs w:val="32"/>
          <w:lang w:val="en-US" w:eastAsia="zh-CN"/>
        </w:rPr>
        <w:t>硬件投入，</w:t>
      </w:r>
      <w:r>
        <w:rPr>
          <w:rFonts w:hint="eastAsia" w:ascii="仿宋_GB2312" w:hAnsi="仿宋_GB2312" w:eastAsia="仿宋_GB2312" w:cs="仿宋_GB2312"/>
          <w:color w:val="auto"/>
          <w:sz w:val="32"/>
          <w:szCs w:val="32"/>
        </w:rPr>
        <w:t>不重视</w:t>
      </w:r>
      <w:r>
        <w:rPr>
          <w:rFonts w:hint="eastAsia" w:ascii="仿宋_GB2312" w:hAnsi="仿宋_GB2312" w:eastAsia="仿宋_GB2312" w:cs="仿宋_GB2312"/>
          <w:color w:val="auto"/>
          <w:sz w:val="32"/>
          <w:szCs w:val="32"/>
          <w:lang w:val="en-US" w:eastAsia="zh-CN"/>
        </w:rPr>
        <w:t>系统性建设与</w:t>
      </w:r>
      <w:r>
        <w:rPr>
          <w:rFonts w:hint="eastAsia" w:ascii="仿宋_GB2312" w:hAnsi="仿宋_GB2312" w:eastAsia="仿宋_GB2312" w:cs="仿宋_GB2312"/>
          <w:color w:val="auto"/>
          <w:sz w:val="32"/>
          <w:szCs w:val="32"/>
        </w:rPr>
        <w:t>管理，缺乏</w:t>
      </w:r>
      <w:r>
        <w:rPr>
          <w:rFonts w:hint="eastAsia" w:ascii="仿宋_GB2312" w:hAnsi="仿宋_GB2312" w:eastAsia="仿宋_GB2312" w:cs="仿宋_GB2312"/>
          <w:color w:val="auto"/>
          <w:sz w:val="32"/>
          <w:szCs w:val="32"/>
          <w:lang w:val="en-US" w:eastAsia="zh-CN"/>
        </w:rPr>
        <w:t>信息化</w:t>
      </w:r>
      <w:r>
        <w:rPr>
          <w:rFonts w:hint="eastAsia" w:ascii="仿宋_GB2312" w:hAnsi="仿宋_GB2312" w:eastAsia="仿宋_GB2312" w:cs="仿宋_GB2312"/>
          <w:color w:val="auto"/>
          <w:sz w:val="32"/>
          <w:szCs w:val="32"/>
        </w:rPr>
        <w:t>投入产出</w:t>
      </w:r>
      <w:r>
        <w:rPr>
          <w:rFonts w:hint="eastAsia" w:ascii="仿宋_GB2312" w:hAnsi="仿宋_GB2312" w:eastAsia="仿宋_GB2312" w:cs="仿宋_GB2312"/>
          <w:color w:val="auto"/>
          <w:sz w:val="32"/>
          <w:szCs w:val="32"/>
          <w:lang w:val="en-US" w:eastAsia="zh-CN"/>
        </w:rPr>
        <w:t>的评价意识与</w:t>
      </w:r>
      <w:r>
        <w:rPr>
          <w:rFonts w:hint="eastAsia" w:ascii="仿宋_GB2312" w:hAnsi="仿宋_GB2312" w:eastAsia="仿宋_GB2312" w:cs="仿宋_GB2312"/>
          <w:color w:val="auto"/>
          <w:sz w:val="32"/>
          <w:szCs w:val="32"/>
        </w:rPr>
        <w:t>评价能力。</w:t>
      </w:r>
    </w:p>
    <w:p w14:paraId="69062674">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近年来</w:t>
      </w:r>
      <w:r>
        <w:rPr>
          <w:rFonts w:hint="eastAsia" w:ascii="仿宋_GB2312" w:hAnsi="仿宋_GB2312" w:eastAsia="仿宋_GB2312" w:cs="仿宋_GB2312"/>
          <w:color w:val="auto"/>
          <w:sz w:val="32"/>
          <w:szCs w:val="32"/>
          <w:lang w:val="en-US" w:eastAsia="zh-CN"/>
        </w:rPr>
        <w:t>工程</w:t>
      </w:r>
      <w:r>
        <w:rPr>
          <w:rFonts w:hint="eastAsia" w:ascii="仿宋_GB2312" w:hAnsi="仿宋_GB2312" w:eastAsia="仿宋_GB2312" w:cs="仿宋_GB2312"/>
          <w:color w:val="auto"/>
          <w:sz w:val="32"/>
          <w:szCs w:val="32"/>
        </w:rPr>
        <w:t>造价咨询行业市场竞争愈发激烈，同质化、价格战等“内卷式”竞争</w:t>
      </w:r>
      <w:r>
        <w:rPr>
          <w:rFonts w:hint="eastAsia" w:ascii="仿宋_GB2312" w:hAnsi="仿宋_GB2312" w:eastAsia="仿宋_GB2312" w:cs="仿宋_GB2312"/>
          <w:color w:val="auto"/>
          <w:sz w:val="32"/>
          <w:szCs w:val="32"/>
          <w:lang w:val="en-US" w:eastAsia="zh-CN"/>
        </w:rPr>
        <w:t>愈演愈烈，</w:t>
      </w:r>
      <w:r>
        <w:rPr>
          <w:rFonts w:hint="eastAsia" w:ascii="仿宋_GB2312" w:hAnsi="仿宋_GB2312" w:eastAsia="仿宋_GB2312" w:cs="仿宋_GB2312"/>
          <w:color w:val="auto"/>
          <w:sz w:val="32"/>
          <w:szCs w:val="32"/>
        </w:rPr>
        <w:t>传统</w:t>
      </w:r>
      <w:r>
        <w:rPr>
          <w:rFonts w:hint="eastAsia" w:ascii="仿宋_GB2312" w:hAnsi="仿宋_GB2312" w:eastAsia="仿宋_GB2312" w:cs="仿宋_GB2312"/>
          <w:color w:val="auto"/>
          <w:sz w:val="32"/>
          <w:szCs w:val="32"/>
          <w:lang w:val="en-US" w:eastAsia="zh-CN"/>
        </w:rPr>
        <w:t>工程</w:t>
      </w:r>
      <w:r>
        <w:rPr>
          <w:rFonts w:hint="eastAsia" w:ascii="仿宋_GB2312" w:hAnsi="仿宋_GB2312" w:eastAsia="仿宋_GB2312" w:cs="仿宋_GB2312"/>
          <w:color w:val="auto"/>
          <w:sz w:val="32"/>
          <w:szCs w:val="32"/>
        </w:rPr>
        <w:t>造价咨询服务</w:t>
      </w:r>
      <w:r>
        <w:rPr>
          <w:rFonts w:hint="eastAsia" w:ascii="仿宋_GB2312" w:hAnsi="仿宋_GB2312" w:eastAsia="仿宋_GB2312" w:cs="仿宋_GB2312"/>
          <w:color w:val="auto"/>
          <w:sz w:val="32"/>
          <w:szCs w:val="32"/>
          <w:lang w:val="en-US" w:eastAsia="zh-CN"/>
        </w:rPr>
        <w:t>的社会公信力面临严峻挑战。我们应当认识到，工程造价咨询行业“内卷”的本质，是低端产能过剩与高端市场亟待发育的矛盾。</w:t>
      </w:r>
      <w:r>
        <w:rPr>
          <w:rFonts w:hint="eastAsia" w:ascii="仿宋_GB2312" w:hAnsi="仿宋_GB2312" w:eastAsia="仿宋_GB2312" w:cs="仿宋_GB2312"/>
          <w:color w:val="auto"/>
          <w:sz w:val="32"/>
          <w:szCs w:val="32"/>
        </w:rPr>
        <w:t>造价咨询行业应当乘着数字经济发展浪潮，利用数字技术</w:t>
      </w:r>
      <w:r>
        <w:rPr>
          <w:rFonts w:hint="eastAsia" w:ascii="仿宋_GB2312" w:hAnsi="仿宋_GB2312" w:eastAsia="仿宋_GB2312" w:cs="仿宋_GB2312"/>
          <w:color w:val="auto"/>
          <w:sz w:val="32"/>
          <w:szCs w:val="32"/>
          <w:lang w:val="en-US" w:eastAsia="zh-CN"/>
        </w:rPr>
        <w:t>重构</w:t>
      </w:r>
      <w:r>
        <w:rPr>
          <w:rFonts w:hint="eastAsia" w:ascii="仿宋_GB2312" w:hAnsi="仿宋_GB2312" w:eastAsia="仿宋_GB2312" w:cs="仿宋_GB2312"/>
          <w:color w:val="auto"/>
          <w:sz w:val="32"/>
          <w:szCs w:val="32"/>
        </w:rPr>
        <w:t>造价咨询服务价值链，从全过程工程咨询服务、成本管理服务、</w:t>
      </w:r>
      <w:r>
        <w:rPr>
          <w:rFonts w:hint="eastAsia" w:ascii="仿宋_GB2312" w:hAnsi="仿宋_GB2312" w:eastAsia="仿宋_GB2312" w:cs="仿宋_GB2312"/>
          <w:color w:val="auto"/>
          <w:sz w:val="32"/>
          <w:szCs w:val="32"/>
          <w:lang w:val="en-US" w:eastAsia="zh-CN"/>
        </w:rPr>
        <w:t>工程</w:t>
      </w:r>
      <w:r>
        <w:rPr>
          <w:rFonts w:hint="eastAsia" w:ascii="仿宋_GB2312" w:hAnsi="仿宋_GB2312" w:eastAsia="仿宋_GB2312" w:cs="仿宋_GB2312"/>
          <w:color w:val="auto"/>
          <w:sz w:val="32"/>
          <w:szCs w:val="32"/>
        </w:rPr>
        <w:t>数据服务、企业定额管理等角度创造新的价值增长点。</w:t>
      </w:r>
      <w:r>
        <w:rPr>
          <w:rFonts w:hint="eastAsia" w:ascii="仿宋_GB2312" w:hAnsi="仿宋_GB2312" w:eastAsia="仿宋_GB2312" w:cs="仿宋_GB2312"/>
          <w:color w:val="auto"/>
          <w:sz w:val="32"/>
          <w:szCs w:val="32"/>
          <w:lang w:val="en-US" w:eastAsia="zh-CN"/>
        </w:rPr>
        <w:t>数字技术已不是“可选工具”，而是造价咨询行业破内卷、提价值、强基础的核心抓手。</w:t>
      </w:r>
      <w:r>
        <w:rPr>
          <w:rFonts w:hint="eastAsia" w:ascii="仿宋_GB2312" w:hAnsi="仿宋_GB2312" w:eastAsia="仿宋_GB2312" w:cs="仿宋_GB2312"/>
          <w:color w:val="auto"/>
          <w:sz w:val="32"/>
          <w:szCs w:val="32"/>
        </w:rPr>
        <w:t>可以预见，云计算、大数据与人工智能、BIM及区块链等技术一定会在工程造价咨询行业大放异彩。</w:t>
      </w:r>
    </w:p>
    <w:p w14:paraId="48551B52">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近年来，</w:t>
      </w:r>
      <w:r>
        <w:rPr>
          <w:rFonts w:hint="eastAsia" w:ascii="仿宋_GB2312" w:hAnsi="仿宋_GB2312" w:eastAsia="仿宋_GB2312" w:cs="仿宋_GB2312"/>
          <w:color w:val="auto"/>
          <w:sz w:val="32"/>
          <w:szCs w:val="32"/>
        </w:rPr>
        <w:t>数字技术不断演进、迭代、升级，新技术、新工具不断涌现，为造价咨询</w:t>
      </w:r>
      <w:r>
        <w:rPr>
          <w:rFonts w:hint="eastAsia" w:ascii="仿宋_GB2312" w:hAnsi="仿宋_GB2312" w:eastAsia="仿宋_GB2312" w:cs="仿宋_GB2312"/>
          <w:color w:val="auto"/>
          <w:sz w:val="32"/>
          <w:szCs w:val="32"/>
          <w:lang w:val="en-US" w:eastAsia="zh-CN"/>
        </w:rPr>
        <w:t>行业提供了更为先进、可靠的技术手段。</w:t>
      </w:r>
      <w:r>
        <w:rPr>
          <w:rFonts w:hint="eastAsia" w:ascii="仿宋_GB2312" w:hAnsi="仿宋_GB2312" w:eastAsia="仿宋_GB2312" w:cs="仿宋_GB2312"/>
          <w:color w:val="auto"/>
          <w:sz w:val="32"/>
          <w:szCs w:val="32"/>
        </w:rPr>
        <w:t>2023年以来生成式人工智能技术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AI</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快速发展</w:t>
      </w:r>
      <w:r>
        <w:rPr>
          <w:rFonts w:hint="eastAsia" w:ascii="仿宋_GB2312" w:hAnsi="仿宋_GB2312" w:eastAsia="仿宋_GB2312" w:cs="仿宋_GB2312"/>
          <w:color w:val="auto"/>
          <w:sz w:val="32"/>
          <w:szCs w:val="32"/>
        </w:rPr>
        <w:t>，尤其是2025年初DeepSeek的</w:t>
      </w:r>
      <w:r>
        <w:rPr>
          <w:rFonts w:hint="eastAsia" w:ascii="仿宋_GB2312" w:hAnsi="仿宋_GB2312" w:eastAsia="仿宋_GB2312" w:cs="仿宋_GB2312"/>
          <w:color w:val="auto"/>
          <w:sz w:val="32"/>
          <w:szCs w:val="32"/>
          <w:lang w:val="en-US" w:eastAsia="zh-CN"/>
        </w:rPr>
        <w:t>火爆</w:t>
      </w:r>
      <w:r>
        <w:rPr>
          <w:rFonts w:hint="eastAsia" w:ascii="仿宋_GB2312" w:hAnsi="仿宋_GB2312" w:eastAsia="仿宋_GB2312" w:cs="仿宋_GB2312"/>
          <w:color w:val="auto"/>
          <w:sz w:val="32"/>
          <w:szCs w:val="32"/>
        </w:rPr>
        <w:t>，为企业数字化转型提供了全新维度的强有力工具。在市场环境不断变化、行业竞争愈发激烈、数字技术迭代升级进一步加快的新形势下，紧跟政策导向，</w:t>
      </w:r>
      <w:r>
        <w:rPr>
          <w:rFonts w:hint="eastAsia" w:ascii="仿宋_GB2312" w:hAnsi="仿宋_GB2312" w:eastAsia="仿宋_GB2312" w:cs="仿宋_GB2312"/>
          <w:color w:val="auto"/>
          <w:sz w:val="32"/>
          <w:szCs w:val="32"/>
          <w:lang w:val="en-US" w:eastAsia="zh-CN"/>
        </w:rPr>
        <w:t>加速技术布局（尤其是数据积累与AI能力），结合企业自身定位，将技术优势转化为服务差异化，</w:t>
      </w:r>
      <w:r>
        <w:rPr>
          <w:rFonts w:hint="eastAsia" w:ascii="仿宋_GB2312" w:hAnsi="仿宋_GB2312" w:eastAsia="仿宋_GB2312" w:cs="仿宋_GB2312"/>
          <w:color w:val="auto"/>
          <w:sz w:val="32"/>
          <w:szCs w:val="32"/>
        </w:rPr>
        <w:t>全力构建造价咨询企业数字竞争力，是造价咨询企业强化新发展理念、构建新发展格局、应对新挑战的必然选择。</w:t>
      </w:r>
    </w:p>
    <w:p w14:paraId="5A845E84">
      <w:pPr>
        <w:pStyle w:val="4"/>
        <w:pageBreakBefore w:val="0"/>
        <w:kinsoku/>
        <w:wordWrap/>
        <w:overflowPunct/>
        <w:topLinePunct w:val="0"/>
        <w:autoSpaceDE/>
        <w:autoSpaceDN/>
        <w:bidi w:val="0"/>
        <w:spacing w:line="560" w:lineRule="exact"/>
        <w:ind w:firstLine="60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本次编制造价咨询企业数字化转型“指导意见2.0”，重点关注数字化转型中的难点、堵点，找准关键问题，明确落地措施，</w:t>
      </w:r>
      <w:r>
        <w:rPr>
          <w:rFonts w:hint="eastAsia" w:ascii="仿宋_GB2312" w:hAnsi="仿宋_GB2312" w:eastAsia="仿宋_GB2312" w:cs="仿宋_GB2312"/>
          <w:b/>
          <w:bCs/>
          <w:color w:val="auto"/>
          <w:sz w:val="32"/>
          <w:szCs w:val="32"/>
          <w:lang w:val="en-US" w:eastAsia="zh-CN"/>
        </w:rPr>
        <w:t>旨在既</w:t>
      </w:r>
      <w:r>
        <w:rPr>
          <w:rFonts w:hint="eastAsia" w:ascii="仿宋_GB2312" w:hAnsi="仿宋_GB2312" w:eastAsia="仿宋_GB2312" w:cs="仿宋_GB2312"/>
          <w:b/>
          <w:bCs/>
          <w:color w:val="auto"/>
          <w:sz w:val="32"/>
          <w:szCs w:val="32"/>
        </w:rPr>
        <w:t>为造价咨询企业提供更加明确的方向性指导</w:t>
      </w:r>
      <w:r>
        <w:rPr>
          <w:rFonts w:hint="eastAsia" w:ascii="仿宋_GB2312" w:hAnsi="仿宋_GB2312" w:eastAsia="仿宋_GB2312" w:cs="仿宋_GB2312"/>
          <w:b/>
          <w:bCs/>
          <w:color w:val="auto"/>
          <w:sz w:val="32"/>
          <w:szCs w:val="32"/>
          <w:lang w:val="en-US" w:eastAsia="zh-CN"/>
        </w:rPr>
        <w:t>意见，又针对转型中不同企业处于不同发展阶段的实际状况，对于转型具体路径、具体目标、数字技术应用的核心内涵等实操性具体工作内容，提供具有一定的“推荐性技术标准功能”技术建议。</w:t>
      </w:r>
    </w:p>
    <w:p w14:paraId="022644F4">
      <w:pPr>
        <w:pStyle w:val="2"/>
        <w:pageBreakBefore w:val="0"/>
        <w:kinsoku/>
        <w:wordWrap/>
        <w:overflowPunct/>
        <w:topLinePunct w:val="0"/>
        <w:autoSpaceDE/>
        <w:autoSpaceDN/>
        <w:bidi w:val="0"/>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二、数字化转型工作内容</w:t>
      </w:r>
    </w:p>
    <w:p w14:paraId="0C23DF06">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指导意见2.0”是在“指导意见1.0版”基础上，按照经营管理维度的划分，为造价咨询企业数字化转型提出了更为明确的方向与更为清晰具体的目标，以方便各企业根据自身特点选择适合的数字化转型路径与落地措施。</w:t>
      </w:r>
    </w:p>
    <w:p w14:paraId="5449D759">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为了便于数字化转型处于不同水平的企业进一步推进转型工作，将工程造价咨询企业数字化转型分为：管理数字化转型和业务数字化转型两个方面。</w:t>
      </w:r>
    </w:p>
    <w:p w14:paraId="04D9011D">
      <w:pPr>
        <w:pStyle w:val="4"/>
        <w:pageBreakBefore w:val="0"/>
        <w:kinsoku/>
        <w:wordWrap/>
        <w:overflowPunct/>
        <w:topLinePunct w:val="0"/>
        <w:autoSpaceDE/>
        <w:autoSpaceDN/>
        <w:bidi w:val="0"/>
        <w:spacing w:line="560" w:lineRule="exact"/>
        <w:ind w:firstLine="60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管理数字化转型：</w:t>
      </w:r>
      <w:r>
        <w:rPr>
          <w:rFonts w:hint="eastAsia" w:ascii="仿宋_GB2312" w:hAnsi="仿宋_GB2312" w:eastAsia="仿宋_GB2312" w:cs="仿宋_GB2312"/>
          <w:color w:val="auto"/>
          <w:sz w:val="32"/>
          <w:szCs w:val="32"/>
        </w:rPr>
        <w:t>是指办公自动化领域的转型，涵盖档案管理、知识管理、人力资源管理、财务管理、内控流程管理和行政办公管理等的数字化转型。</w:t>
      </w:r>
    </w:p>
    <w:p w14:paraId="5174DFB8">
      <w:pPr>
        <w:pStyle w:val="4"/>
        <w:pageBreakBefore w:val="0"/>
        <w:kinsoku/>
        <w:wordWrap/>
        <w:overflowPunct/>
        <w:topLinePunct w:val="0"/>
        <w:autoSpaceDE/>
        <w:autoSpaceDN/>
        <w:bidi w:val="0"/>
        <w:spacing w:line="560" w:lineRule="exact"/>
        <w:ind w:firstLine="60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业务数字化转型：</w:t>
      </w:r>
      <w:r>
        <w:rPr>
          <w:rFonts w:hint="eastAsia" w:ascii="仿宋_GB2312" w:hAnsi="仿宋_GB2312" w:eastAsia="仿宋_GB2312" w:cs="仿宋_GB2312"/>
          <w:color w:val="auto"/>
          <w:sz w:val="32"/>
          <w:szCs w:val="32"/>
        </w:rPr>
        <w:t>是指利用数字技术基于数据资源对造价咨询业务的重塑，涵盖业务形态重塑及其业务流程重塑、智能质控系统、全过程工程咨询服务等多个方面。</w:t>
      </w:r>
    </w:p>
    <w:p w14:paraId="199CE96C">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应当指出，管理数字化转型和业务数字化转型</w:t>
      </w:r>
      <w:r>
        <w:rPr>
          <w:rFonts w:hint="eastAsia" w:ascii="仿宋_GB2312" w:hAnsi="仿宋_GB2312" w:eastAsia="仿宋_GB2312" w:cs="仿宋_GB2312"/>
          <w:color w:val="auto"/>
          <w:sz w:val="32"/>
          <w:szCs w:val="32"/>
          <w:lang w:val="en-US" w:eastAsia="zh-CN"/>
        </w:rPr>
        <w:t>在本质上是完全</w:t>
      </w:r>
      <w:r>
        <w:rPr>
          <w:rFonts w:hint="eastAsia" w:ascii="仿宋_GB2312" w:hAnsi="仿宋_GB2312" w:eastAsia="仿宋_GB2312" w:cs="仿宋_GB2312"/>
          <w:color w:val="auto"/>
          <w:sz w:val="32"/>
          <w:szCs w:val="32"/>
        </w:rPr>
        <w:t>统一的整体，尤其在业态重</w:t>
      </w:r>
      <w:r>
        <w:rPr>
          <w:rFonts w:hint="eastAsia" w:ascii="仿宋_GB2312" w:hAnsi="仿宋_GB2312" w:eastAsia="仿宋_GB2312" w:cs="仿宋_GB2312"/>
          <w:color w:val="auto"/>
          <w:sz w:val="32"/>
          <w:szCs w:val="32"/>
          <w:lang w:val="en-US" w:eastAsia="zh-CN"/>
        </w:rPr>
        <w:t>塑</w:t>
      </w:r>
      <w:r>
        <w:rPr>
          <w:rFonts w:hint="eastAsia" w:ascii="仿宋_GB2312" w:hAnsi="仿宋_GB2312" w:eastAsia="仿宋_GB2312" w:cs="仿宋_GB2312"/>
          <w:color w:val="auto"/>
          <w:sz w:val="32"/>
          <w:szCs w:val="32"/>
        </w:rPr>
        <w:t>、业务流程重</w:t>
      </w:r>
      <w:r>
        <w:rPr>
          <w:rFonts w:hint="eastAsia" w:ascii="仿宋_GB2312" w:hAnsi="仿宋_GB2312" w:eastAsia="仿宋_GB2312" w:cs="仿宋_GB2312"/>
          <w:color w:val="auto"/>
          <w:sz w:val="32"/>
          <w:szCs w:val="32"/>
          <w:lang w:val="en-US" w:eastAsia="zh-CN"/>
        </w:rPr>
        <w:t>塑</w:t>
      </w:r>
      <w:r>
        <w:rPr>
          <w:rFonts w:hint="eastAsia" w:ascii="仿宋_GB2312" w:hAnsi="仿宋_GB2312" w:eastAsia="仿宋_GB2312" w:cs="仿宋_GB2312"/>
          <w:color w:val="auto"/>
          <w:sz w:val="32"/>
          <w:szCs w:val="32"/>
        </w:rPr>
        <w:t>、质控手段重塑等方面</w:t>
      </w:r>
      <w:r>
        <w:rPr>
          <w:rFonts w:hint="eastAsia" w:ascii="仿宋_GB2312" w:hAnsi="仿宋_GB2312" w:eastAsia="仿宋_GB2312" w:cs="仿宋_GB2312"/>
          <w:color w:val="auto"/>
          <w:sz w:val="32"/>
          <w:szCs w:val="32"/>
          <w:lang w:val="en-US" w:eastAsia="zh-CN"/>
        </w:rPr>
        <w:t>既有</w:t>
      </w:r>
      <w:r>
        <w:rPr>
          <w:rFonts w:hint="eastAsia" w:ascii="仿宋_GB2312" w:hAnsi="仿宋_GB2312" w:eastAsia="仿宋_GB2312" w:cs="仿宋_GB2312"/>
          <w:color w:val="auto"/>
          <w:sz w:val="32"/>
          <w:szCs w:val="32"/>
        </w:rPr>
        <w:t>重叠，又各有侧重。</w:t>
      </w:r>
      <w:r>
        <w:rPr>
          <w:rFonts w:hint="eastAsia" w:ascii="仿宋_GB2312" w:hAnsi="仿宋_GB2312" w:eastAsia="仿宋_GB2312" w:cs="仿宋_GB2312"/>
          <w:b/>
          <w:bCs/>
          <w:color w:val="auto"/>
          <w:sz w:val="32"/>
          <w:szCs w:val="32"/>
          <w:u w:val="single"/>
        </w:rPr>
        <w:t>管理数字化转型</w:t>
      </w:r>
      <w:r>
        <w:rPr>
          <w:rFonts w:hint="eastAsia" w:ascii="仿宋_GB2312" w:hAnsi="仿宋_GB2312" w:eastAsia="仿宋_GB2312" w:cs="仿宋_GB2312"/>
          <w:b/>
          <w:bCs/>
          <w:color w:val="auto"/>
          <w:sz w:val="32"/>
          <w:szCs w:val="32"/>
          <w:u w:val="single"/>
          <w:lang w:val="en-US" w:eastAsia="zh-CN"/>
        </w:rPr>
        <w:t>注重</w:t>
      </w:r>
      <w:r>
        <w:rPr>
          <w:rFonts w:hint="eastAsia" w:ascii="仿宋_GB2312" w:hAnsi="仿宋_GB2312" w:eastAsia="仿宋_GB2312" w:cs="仿宋_GB2312"/>
          <w:b/>
          <w:bCs/>
          <w:color w:val="auto"/>
          <w:sz w:val="32"/>
          <w:szCs w:val="32"/>
          <w:u w:val="single"/>
        </w:rPr>
        <w:t>在线审批审核</w:t>
      </w:r>
      <w:r>
        <w:rPr>
          <w:rFonts w:hint="eastAsia" w:ascii="仿宋_GB2312" w:hAnsi="仿宋_GB2312" w:eastAsia="仿宋_GB2312" w:cs="仿宋_GB2312"/>
          <w:b/>
          <w:bCs/>
          <w:color w:val="auto"/>
          <w:sz w:val="32"/>
          <w:szCs w:val="32"/>
          <w:u w:val="single"/>
          <w:lang w:eastAsia="zh-CN"/>
        </w:rPr>
        <w:t>、</w:t>
      </w:r>
      <w:r>
        <w:rPr>
          <w:rFonts w:hint="eastAsia" w:ascii="仿宋_GB2312" w:hAnsi="仿宋_GB2312" w:eastAsia="仿宋_GB2312" w:cs="仿宋_GB2312"/>
          <w:b/>
          <w:bCs/>
          <w:color w:val="auto"/>
          <w:sz w:val="32"/>
          <w:szCs w:val="32"/>
          <w:u w:val="single"/>
        </w:rPr>
        <w:t>风险控制</w:t>
      </w:r>
      <w:r>
        <w:rPr>
          <w:rFonts w:hint="eastAsia" w:ascii="仿宋_GB2312" w:hAnsi="仿宋_GB2312" w:eastAsia="仿宋_GB2312" w:cs="仿宋_GB2312"/>
          <w:b/>
          <w:bCs/>
          <w:color w:val="auto"/>
          <w:sz w:val="32"/>
          <w:szCs w:val="32"/>
          <w:u w:val="single"/>
          <w:lang w:val="en-US" w:eastAsia="zh-CN"/>
        </w:rPr>
        <w:t>和数据积累</w:t>
      </w:r>
      <w:r>
        <w:rPr>
          <w:rFonts w:hint="eastAsia" w:ascii="仿宋_GB2312" w:hAnsi="仿宋_GB2312" w:eastAsia="仿宋_GB2312" w:cs="仿宋_GB2312"/>
          <w:b/>
          <w:bCs/>
          <w:color w:val="auto"/>
          <w:sz w:val="32"/>
          <w:szCs w:val="32"/>
          <w:u w:val="single"/>
        </w:rPr>
        <w:t>；业务数字化转型强调</w:t>
      </w:r>
      <w:r>
        <w:rPr>
          <w:rFonts w:hint="eastAsia" w:ascii="仿宋_GB2312" w:hAnsi="仿宋_GB2312" w:eastAsia="仿宋_GB2312" w:cs="仿宋_GB2312"/>
          <w:b/>
          <w:bCs/>
          <w:color w:val="auto"/>
          <w:sz w:val="32"/>
          <w:szCs w:val="32"/>
          <w:u w:val="single"/>
          <w:lang w:val="en-US" w:eastAsia="zh-CN"/>
        </w:rPr>
        <w:t>数据应用、</w:t>
      </w:r>
      <w:r>
        <w:rPr>
          <w:rFonts w:hint="eastAsia" w:ascii="仿宋_GB2312" w:hAnsi="仿宋_GB2312" w:eastAsia="仿宋_GB2312" w:cs="仿宋_GB2312"/>
          <w:b/>
          <w:bCs/>
          <w:color w:val="auto"/>
          <w:sz w:val="32"/>
          <w:szCs w:val="32"/>
          <w:u w:val="single"/>
        </w:rPr>
        <w:t>业态与流程</w:t>
      </w:r>
      <w:r>
        <w:rPr>
          <w:rFonts w:hint="eastAsia" w:ascii="仿宋_GB2312" w:hAnsi="仿宋_GB2312" w:eastAsia="仿宋_GB2312" w:cs="仿宋_GB2312"/>
          <w:color w:val="auto"/>
          <w:sz w:val="32"/>
          <w:szCs w:val="32"/>
        </w:rPr>
        <w:t>重塑</w:t>
      </w:r>
      <w:r>
        <w:rPr>
          <w:rFonts w:hint="eastAsia" w:ascii="仿宋_GB2312" w:hAnsi="仿宋_GB2312" w:eastAsia="仿宋_GB2312" w:cs="仿宋_GB2312"/>
          <w:b/>
          <w:bCs/>
          <w:color w:val="auto"/>
          <w:sz w:val="32"/>
          <w:szCs w:val="32"/>
          <w:u w:val="single"/>
        </w:rPr>
        <w:t>和质控提效。</w:t>
      </w:r>
    </w:p>
    <w:p w14:paraId="67C4E7B1">
      <w:pPr>
        <w:pStyle w:val="3"/>
        <w:pageBreakBefore w:val="0"/>
        <w:kinsoku/>
        <w:wordWrap/>
        <w:overflowPunct/>
        <w:topLinePunct w:val="0"/>
        <w:autoSpaceDE/>
        <w:autoSpaceDN/>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明确数字化转型的目标</w:t>
      </w:r>
    </w:p>
    <w:p w14:paraId="48E0A30D">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鉴于“指导意见1.0版”所提出的近期目标基本实现，本指导意见将着重从管理数字化转型提出更加明确、更加具体的工作目标，并为向业务数字化转型打好基础。</w:t>
      </w:r>
    </w:p>
    <w:p w14:paraId="2A3E26CD">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近期目标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1-3年内可达成</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夯实企业管理数字化转型的基座，实现企业运营管理全面线上运作，为过渡到企业管理数字化与咨询业务数字化融为一体创造基础条件。</w:t>
      </w:r>
    </w:p>
    <w:p w14:paraId="165B0672">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远期目标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3-5年内基本达成</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val="en-US" w:eastAsia="zh-CN"/>
        </w:rPr>
        <w:t>基本</w:t>
      </w:r>
      <w:r>
        <w:rPr>
          <w:rFonts w:hint="eastAsia" w:ascii="仿宋_GB2312" w:hAnsi="仿宋_GB2312" w:eastAsia="仿宋_GB2312" w:cs="仿宋_GB2312"/>
          <w:color w:val="auto"/>
          <w:sz w:val="32"/>
          <w:szCs w:val="32"/>
        </w:rPr>
        <w:t>实现业务数字化转型，以创新为引领，以数字赋能为抓手，重塑咨询业态与流程，构建企业核心竞争力，大力推进为客户提供个性化的增值型服务。</w:t>
      </w:r>
    </w:p>
    <w:p w14:paraId="237A6996">
      <w:pPr>
        <w:pStyle w:val="3"/>
        <w:pageBreakBefore w:val="0"/>
        <w:kinsoku/>
        <w:wordWrap/>
        <w:overflowPunct/>
        <w:topLinePunct w:val="0"/>
        <w:autoSpaceDE/>
        <w:autoSpaceDN/>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关键技术与应用</w:t>
      </w:r>
    </w:p>
    <w:p w14:paraId="1C0EC5BF">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造价咨询企业数字化转型的关键技术</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“云计算技术”、“数据</w:t>
      </w:r>
      <w:r>
        <w:rPr>
          <w:rFonts w:hint="eastAsia" w:ascii="仿宋_GB2312" w:hAnsi="仿宋_GB2312" w:eastAsia="仿宋_GB2312" w:cs="仿宋_GB2312"/>
          <w:sz w:val="32"/>
          <w:szCs w:val="32"/>
          <w:lang w:val="en-US" w:eastAsia="zh-CN"/>
        </w:rPr>
        <w:t>分析、处理</w:t>
      </w:r>
      <w:r>
        <w:rPr>
          <w:rFonts w:hint="eastAsia" w:ascii="仿宋_GB2312" w:hAnsi="仿宋_GB2312" w:eastAsia="仿宋_GB2312" w:cs="仿宋_GB2312"/>
          <w:sz w:val="32"/>
          <w:szCs w:val="32"/>
        </w:rPr>
        <w:t>技术”、“人工智能技术”、“BIM技术”和“区块链技术”</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造价咨询企业与咨询人员</w:t>
      </w:r>
      <w:r>
        <w:rPr>
          <w:rFonts w:hint="eastAsia" w:ascii="仿宋_GB2312" w:hAnsi="仿宋_GB2312" w:eastAsia="仿宋_GB2312" w:cs="仿宋_GB2312"/>
          <w:sz w:val="32"/>
          <w:szCs w:val="32"/>
        </w:rPr>
        <w:t>了解并用好这些关键技术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数字化转型</w:t>
      </w:r>
      <w:r>
        <w:rPr>
          <w:rFonts w:hint="eastAsia" w:ascii="仿宋_GB2312" w:hAnsi="仿宋_GB2312" w:eastAsia="仿宋_GB2312" w:cs="仿宋_GB2312"/>
          <w:sz w:val="32"/>
          <w:szCs w:val="32"/>
          <w:lang w:val="en-US" w:eastAsia="zh-CN"/>
        </w:rPr>
        <w:t>能起到高屋建瓴</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促</w:t>
      </w:r>
      <w:r>
        <w:rPr>
          <w:rFonts w:hint="eastAsia" w:ascii="仿宋_GB2312" w:hAnsi="仿宋_GB2312" w:eastAsia="仿宋_GB2312" w:cs="仿宋_GB2312"/>
          <w:sz w:val="32"/>
          <w:szCs w:val="32"/>
        </w:rPr>
        <w:t>进作用。</w:t>
      </w:r>
    </w:p>
    <w:p w14:paraId="0B444313">
      <w:pPr>
        <w:pStyle w:val="6"/>
        <w:pageBreakBefore w:val="0"/>
        <w:kinsoku/>
        <w:wordWrap/>
        <w:overflowPunct/>
        <w:topLinePunct w:val="0"/>
        <w:autoSpaceDE/>
        <w:autoSpaceDN/>
        <w:bidi w:val="0"/>
        <w:spacing w:line="560" w:lineRule="exact"/>
        <w:ind w:firstLine="318" w:firstLineChars="9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 云计算技术</w:t>
      </w:r>
    </w:p>
    <w:p w14:paraId="29E1E1D2">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云计算是一种通过网络按需提供可动态伸缩的计算资源和服务的技术模式，其核心在于将计算、存储、网络等资源整合在云端，用户通过互联网即可便捷获取和使用。</w:t>
      </w:r>
      <w:r>
        <w:rPr>
          <w:rFonts w:hint="eastAsia" w:ascii="仿宋_GB2312" w:hAnsi="仿宋_GB2312" w:eastAsia="仿宋_GB2312" w:cs="仿宋_GB2312"/>
          <w:sz w:val="32"/>
          <w:szCs w:val="32"/>
          <w:lang w:val="en-US" w:eastAsia="zh-CN"/>
        </w:rPr>
        <w:t>云计算技术的出现主要是为了应对</w:t>
      </w:r>
      <w:r>
        <w:rPr>
          <w:rFonts w:hint="eastAsia" w:ascii="仿宋_GB2312" w:hAnsi="仿宋_GB2312" w:eastAsia="仿宋_GB2312" w:cs="仿宋_GB2312"/>
          <w:sz w:val="32"/>
          <w:szCs w:val="32"/>
        </w:rPr>
        <w:t>传统的本地服务器部署模式</w:t>
      </w:r>
      <w:r>
        <w:rPr>
          <w:rFonts w:hint="eastAsia" w:ascii="仿宋_GB2312" w:hAnsi="仿宋_GB2312" w:eastAsia="仿宋_GB2312" w:cs="仿宋_GB2312"/>
          <w:sz w:val="32"/>
          <w:szCs w:val="32"/>
          <w:lang w:val="en-US" w:eastAsia="zh-CN"/>
        </w:rPr>
        <w:t>的一系列问题，如硬件成本高</w:t>
      </w:r>
      <w:r>
        <w:rPr>
          <w:rFonts w:hint="eastAsia" w:ascii="仿宋_GB2312" w:hAnsi="仿宋_GB2312" w:eastAsia="仿宋_GB2312" w:cs="仿宋_GB2312"/>
          <w:sz w:val="32"/>
          <w:szCs w:val="32"/>
        </w:rPr>
        <w:t>、运维管理</w:t>
      </w:r>
      <w:r>
        <w:rPr>
          <w:rFonts w:hint="eastAsia" w:ascii="仿宋_GB2312" w:hAnsi="仿宋_GB2312" w:eastAsia="仿宋_GB2312" w:cs="仿宋_GB2312"/>
          <w:sz w:val="32"/>
          <w:szCs w:val="32"/>
          <w:lang w:val="en-US" w:eastAsia="zh-CN"/>
        </w:rPr>
        <w:t>复杂</w:t>
      </w:r>
      <w:r>
        <w:rPr>
          <w:rFonts w:hint="eastAsia" w:ascii="仿宋_GB2312" w:hAnsi="仿宋_GB2312" w:eastAsia="仿宋_GB2312" w:cs="仿宋_GB2312"/>
          <w:sz w:val="32"/>
          <w:szCs w:val="32"/>
        </w:rPr>
        <w:t>以及资源扩展</w:t>
      </w:r>
      <w:r>
        <w:rPr>
          <w:rFonts w:hint="eastAsia" w:ascii="仿宋_GB2312" w:hAnsi="仿宋_GB2312" w:eastAsia="仿宋_GB2312" w:cs="仿宋_GB2312"/>
          <w:sz w:val="32"/>
          <w:szCs w:val="32"/>
          <w:lang w:val="en-US" w:eastAsia="zh-CN"/>
        </w:rPr>
        <w:t>困难。现在，</w:t>
      </w:r>
      <w:r>
        <w:rPr>
          <w:rFonts w:hint="eastAsia" w:ascii="仿宋_GB2312" w:hAnsi="仿宋_GB2312" w:eastAsia="仿宋_GB2312" w:cs="仿宋_GB2312"/>
          <w:sz w:val="32"/>
          <w:szCs w:val="32"/>
        </w:rPr>
        <w:t>云计算技术已非常成熟，企业</w:t>
      </w:r>
      <w:r>
        <w:rPr>
          <w:rFonts w:hint="eastAsia" w:ascii="仿宋_GB2312" w:hAnsi="仿宋_GB2312" w:eastAsia="仿宋_GB2312" w:cs="仿宋_GB2312"/>
          <w:sz w:val="32"/>
          <w:szCs w:val="32"/>
          <w:lang w:val="en-US" w:eastAsia="zh-CN"/>
        </w:rPr>
        <w:t>根据自身需求</w:t>
      </w:r>
      <w:r>
        <w:rPr>
          <w:rFonts w:hint="eastAsia" w:ascii="仿宋_GB2312" w:hAnsi="仿宋_GB2312" w:eastAsia="仿宋_GB2312" w:cs="仿宋_GB2312"/>
          <w:sz w:val="32"/>
          <w:szCs w:val="32"/>
        </w:rPr>
        <w:t>，可以采用公有云、私有云或混合云技术。</w:t>
      </w:r>
    </w:p>
    <w:p w14:paraId="618B088A">
      <w:pPr>
        <w:pStyle w:val="4"/>
        <w:pageBreakBefore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① 公有云技术</w:t>
      </w:r>
    </w:p>
    <w:p w14:paraId="1DD96679">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公有云由第三方云服务提供商构建和运营，通过互联网向大量用户提供标准化的计算、存储、网络等资源和服务。</w:t>
      </w:r>
      <w:r>
        <w:rPr>
          <w:rFonts w:hint="eastAsia" w:ascii="仿宋_GB2312" w:hAnsi="仿宋_GB2312" w:eastAsia="仿宋_GB2312" w:cs="仿宋_GB2312"/>
          <w:sz w:val="32"/>
          <w:szCs w:val="32"/>
          <w:lang w:val="en-US" w:eastAsia="zh-CN"/>
        </w:rPr>
        <w:t>在公有云上，</w:t>
      </w:r>
      <w:r>
        <w:rPr>
          <w:rFonts w:hint="eastAsia" w:ascii="仿宋_GB2312" w:hAnsi="仿宋_GB2312" w:eastAsia="仿宋_GB2312" w:cs="仿宋_GB2312"/>
          <w:sz w:val="32"/>
          <w:szCs w:val="32"/>
        </w:rPr>
        <w:t>资源以多租户模式共享，众多企业的数据和应用运行在同一物理基础设施上，但通过虚拟化技术实现逻辑隔离。常见的公有云服务提供商有阿里云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华为云</w:t>
      </w:r>
      <w:r>
        <w:rPr>
          <w:rFonts w:hint="eastAsia" w:ascii="仿宋_GB2312" w:hAnsi="仿宋_GB2312" w:eastAsia="仿宋_GB2312" w:cs="仿宋_GB2312"/>
          <w:sz w:val="32"/>
          <w:szCs w:val="32"/>
        </w:rPr>
        <w:t>、腾讯云</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60BFBC42">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公有云技术的优势是</w:t>
      </w:r>
      <w:r>
        <w:rPr>
          <w:rFonts w:hint="eastAsia" w:ascii="仿宋_GB2312" w:hAnsi="仿宋_GB2312" w:eastAsia="仿宋_GB2312" w:cs="仿宋_GB2312"/>
          <w:b w:val="0"/>
          <w:bCs w:val="0"/>
          <w:sz w:val="32"/>
          <w:szCs w:val="32"/>
          <w:u w:val="none"/>
        </w:rPr>
        <w:t>成本低</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扩展性强</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部署便捷</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sz w:val="32"/>
          <w:szCs w:val="32"/>
        </w:rPr>
        <w:t>企业无需建设和维护数据中心</w:t>
      </w:r>
      <w:r>
        <w:rPr>
          <w:rFonts w:hint="eastAsia" w:ascii="仿宋_GB2312" w:hAnsi="仿宋_GB2312" w:eastAsia="仿宋_GB2312" w:cs="仿宋_GB2312"/>
          <w:sz w:val="32"/>
          <w:szCs w:val="32"/>
          <w:lang w:eastAsia="zh-CN"/>
        </w:rPr>
        <w:t>，只需</w:t>
      </w:r>
      <w:r>
        <w:rPr>
          <w:rFonts w:hint="eastAsia" w:ascii="仿宋_GB2312" w:hAnsi="仿宋_GB2312" w:eastAsia="仿宋_GB2312" w:cs="仿宋_GB2312"/>
          <w:sz w:val="32"/>
          <w:szCs w:val="32"/>
        </w:rPr>
        <w:t>根据业务需求</w:t>
      </w:r>
      <w:r>
        <w:rPr>
          <w:rFonts w:hint="eastAsia" w:ascii="仿宋_GB2312" w:hAnsi="仿宋_GB2312" w:eastAsia="仿宋_GB2312" w:cs="仿宋_GB2312"/>
          <w:sz w:val="32"/>
          <w:szCs w:val="32"/>
          <w:lang w:val="en-US" w:eastAsia="zh-CN"/>
        </w:rPr>
        <w:t>随时</w:t>
      </w:r>
      <w:r>
        <w:rPr>
          <w:rFonts w:hint="eastAsia" w:ascii="仿宋_GB2312" w:hAnsi="仿宋_GB2312" w:eastAsia="仿宋_GB2312" w:cs="仿宋_GB2312"/>
          <w:sz w:val="32"/>
          <w:szCs w:val="32"/>
        </w:rPr>
        <w:t>扩展或缩减资源，</w:t>
      </w:r>
      <w:r>
        <w:rPr>
          <w:rFonts w:hint="eastAsia" w:ascii="仿宋_GB2312" w:hAnsi="仿宋_GB2312" w:eastAsia="仿宋_GB2312" w:cs="仿宋_GB2312"/>
          <w:sz w:val="32"/>
          <w:szCs w:val="32"/>
          <w:lang w:val="en-US" w:eastAsia="zh-CN"/>
        </w:rPr>
        <w:t>几乎没有</w:t>
      </w:r>
      <w:r>
        <w:rPr>
          <w:rFonts w:hint="eastAsia" w:ascii="仿宋_GB2312" w:hAnsi="仿宋_GB2312" w:eastAsia="仿宋_GB2312" w:cs="仿宋_GB2312"/>
          <w:sz w:val="32"/>
          <w:szCs w:val="32"/>
        </w:rPr>
        <w:t>基础设施搭建过程。</w:t>
      </w:r>
    </w:p>
    <w:p w14:paraId="3C508AA6">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公有云技术</w:t>
      </w:r>
      <w:r>
        <w:rPr>
          <w:rFonts w:hint="eastAsia" w:ascii="仿宋_GB2312" w:hAnsi="仿宋_GB2312" w:eastAsia="仿宋_GB2312" w:cs="仿宋_GB2312"/>
          <w:sz w:val="32"/>
          <w:szCs w:val="32"/>
        </w:rPr>
        <w:t>数据安全性和隐私性相对较弱，数据存储在第三方服务器，企业对数据物理位置和访问控制的掌控力有限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公有云技术的</w:t>
      </w:r>
      <w:r>
        <w:rPr>
          <w:rFonts w:hint="eastAsia" w:ascii="仿宋_GB2312" w:hAnsi="仿宋_GB2312" w:eastAsia="仿宋_GB2312" w:cs="仿宋_GB2312"/>
          <w:sz w:val="32"/>
          <w:szCs w:val="32"/>
        </w:rPr>
        <w:t>定制化程度低，服务和配置由云服务商设定。</w:t>
      </w:r>
    </w:p>
    <w:p w14:paraId="6CB15604">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公有云技术</w:t>
      </w:r>
      <w:r>
        <w:rPr>
          <w:rFonts w:hint="eastAsia" w:ascii="仿宋_GB2312" w:hAnsi="仿宋_GB2312" w:eastAsia="仿宋_GB2312" w:cs="仿宋_GB2312"/>
          <w:sz w:val="32"/>
          <w:szCs w:val="32"/>
        </w:rPr>
        <w:t>适合中小型造价咨询企业或处于业务发展初期的企业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适用于对数据安全要求不高的业务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适用于</w:t>
      </w:r>
      <w:r>
        <w:rPr>
          <w:rFonts w:hint="eastAsia" w:ascii="仿宋_GB2312" w:hAnsi="仿宋_GB2312" w:eastAsia="仿宋_GB2312" w:cs="仿宋_GB2312"/>
          <w:sz w:val="32"/>
          <w:szCs w:val="32"/>
        </w:rPr>
        <w:t>临时或短期的项目需求。</w:t>
      </w:r>
    </w:p>
    <w:p w14:paraId="7908E7BB">
      <w:pPr>
        <w:pStyle w:val="4"/>
        <w:pageBreakBefore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② 私有云技术</w:t>
      </w:r>
    </w:p>
    <w:p w14:paraId="53BEADD6">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私有云</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专为单一企业或组织</w:t>
      </w:r>
      <w:r>
        <w:rPr>
          <w:rFonts w:hint="eastAsia" w:ascii="仿宋_GB2312" w:hAnsi="仿宋_GB2312" w:eastAsia="仿宋_GB2312" w:cs="仿宋_GB2312"/>
          <w:sz w:val="32"/>
          <w:szCs w:val="32"/>
          <w:lang w:val="en-US" w:eastAsia="zh-CN"/>
        </w:rPr>
        <w:t>搭建的</w:t>
      </w:r>
      <w:r>
        <w:rPr>
          <w:rFonts w:hint="eastAsia" w:ascii="仿宋_GB2312" w:hAnsi="仿宋_GB2312" w:eastAsia="仿宋_GB2312" w:cs="仿宋_GB2312"/>
          <w:sz w:val="32"/>
          <w:szCs w:val="32"/>
        </w:rPr>
        <w:t>，部署在内部数据中心或托管在特定的物理设施中，由自身或委托专业团队进行管理和维护</w:t>
      </w:r>
      <w:r>
        <w:rPr>
          <w:rFonts w:hint="eastAsia" w:ascii="仿宋_GB2312" w:hAnsi="仿宋_GB2312" w:eastAsia="仿宋_GB2312" w:cs="仿宋_GB2312"/>
          <w:sz w:val="32"/>
          <w:szCs w:val="32"/>
          <w:lang w:val="en-US" w:eastAsia="zh-CN"/>
        </w:rPr>
        <w:t>的云平台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私有云也可以</w:t>
      </w:r>
      <w:r>
        <w:rPr>
          <w:rFonts w:hint="eastAsia" w:ascii="仿宋_GB2312" w:hAnsi="仿宋_GB2312" w:eastAsia="仿宋_GB2312" w:cs="仿宋_GB2312"/>
          <w:sz w:val="32"/>
          <w:szCs w:val="32"/>
        </w:rPr>
        <w:t>通过虚拟化技术将物理资源池化，为企业提供专属的计算、存储和网络资源，企业拥有完全的控制权和管理权，可根据自身需求定制资源配置、安全策略和服务流程。</w:t>
      </w:r>
    </w:p>
    <w:p w14:paraId="7E0E0D59">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私有云技术的</w:t>
      </w:r>
      <w:r>
        <w:rPr>
          <w:rFonts w:hint="eastAsia" w:ascii="仿宋_GB2312" w:hAnsi="仿宋_GB2312" w:eastAsia="仿宋_GB2312" w:cs="仿宋_GB2312"/>
          <w:sz w:val="32"/>
          <w:szCs w:val="32"/>
        </w:rPr>
        <w:t>优势</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数据安全性和隐私性高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高度定制化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基于私有云技术</w:t>
      </w:r>
      <w:r>
        <w:rPr>
          <w:rFonts w:hint="eastAsia" w:ascii="仿宋_GB2312" w:hAnsi="仿宋_GB2312" w:eastAsia="仿宋_GB2312" w:cs="仿宋_GB2312"/>
          <w:sz w:val="32"/>
          <w:szCs w:val="32"/>
        </w:rPr>
        <w:t>，企业能够完全掌控数据，自主制定严格的安全策略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也</w:t>
      </w:r>
      <w:r>
        <w:rPr>
          <w:rFonts w:hint="eastAsia" w:ascii="仿宋_GB2312" w:hAnsi="仿宋_GB2312" w:eastAsia="仿宋_GB2312" w:cs="仿宋_GB2312"/>
          <w:sz w:val="32"/>
          <w:szCs w:val="32"/>
        </w:rPr>
        <w:t>可根据企业独特的业务需求进行深度定制。</w:t>
      </w:r>
    </w:p>
    <w:p w14:paraId="63EB6CA9">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私有云技术</w:t>
      </w:r>
      <w:r>
        <w:rPr>
          <w:rFonts w:hint="eastAsia" w:ascii="仿宋_GB2312" w:hAnsi="仿宋_GB2312" w:eastAsia="仿宋_GB2312" w:cs="仿宋_GB2312"/>
          <w:sz w:val="32"/>
          <w:szCs w:val="32"/>
        </w:rPr>
        <w:t>建设和运维成本高昂，企业需投入大量资金购置硬件</w:t>
      </w:r>
      <w:r>
        <w:rPr>
          <w:rFonts w:hint="eastAsia" w:ascii="仿宋_GB2312" w:hAnsi="仿宋_GB2312" w:eastAsia="仿宋_GB2312" w:cs="仿宋_GB2312"/>
          <w:sz w:val="32"/>
          <w:szCs w:val="32"/>
          <w:lang w:val="en-US" w:eastAsia="zh-CN"/>
        </w:rPr>
        <w:t>设施</w:t>
      </w:r>
      <w:r>
        <w:rPr>
          <w:rFonts w:hint="eastAsia" w:ascii="仿宋_GB2312" w:hAnsi="仿宋_GB2312" w:eastAsia="仿宋_GB2312" w:cs="仿宋_GB2312"/>
          <w:sz w:val="32"/>
          <w:szCs w:val="32"/>
        </w:rPr>
        <w:t>，还需配备专业的IT团队进行日常运维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扩展性相对有限，对企业的 IT 技术能力要求较高。</w:t>
      </w:r>
    </w:p>
    <w:p w14:paraId="066002B8">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私有云技术适用于</w:t>
      </w:r>
      <w:r>
        <w:rPr>
          <w:rFonts w:hint="eastAsia" w:ascii="仿宋_GB2312" w:hAnsi="仿宋_GB2312" w:eastAsia="仿宋_GB2312" w:cs="仿宋_GB2312"/>
          <w:sz w:val="32"/>
          <w:szCs w:val="32"/>
        </w:rPr>
        <w:t>对数据安全和隐私保护要求极高的造价咨询企业，如涉及政府重大项目、军事工程等敏感项目的企业，</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业务复杂</w:t>
      </w:r>
      <w:r>
        <w:rPr>
          <w:rFonts w:hint="eastAsia" w:ascii="仿宋_GB2312" w:hAnsi="仿宋_GB2312" w:eastAsia="仿宋_GB2312" w:cs="仿宋_GB2312"/>
          <w:sz w:val="32"/>
          <w:szCs w:val="32"/>
          <w:lang w:val="en-US" w:eastAsia="zh-CN"/>
        </w:rPr>
        <w:t>度高</w:t>
      </w:r>
      <w:r>
        <w:rPr>
          <w:rFonts w:hint="eastAsia" w:ascii="仿宋_GB2312" w:hAnsi="仿宋_GB2312" w:eastAsia="仿宋_GB2312" w:cs="仿宋_GB2312"/>
          <w:sz w:val="32"/>
          <w:szCs w:val="32"/>
        </w:rPr>
        <w:t>、数据</w:t>
      </w:r>
      <w:r>
        <w:rPr>
          <w:rFonts w:hint="eastAsia" w:ascii="仿宋_GB2312" w:hAnsi="仿宋_GB2312" w:eastAsia="仿宋_GB2312" w:cs="仿宋_GB2312"/>
          <w:sz w:val="32"/>
          <w:szCs w:val="32"/>
          <w:lang w:val="en-US" w:eastAsia="zh-CN"/>
        </w:rPr>
        <w:t>处理量大</w:t>
      </w:r>
      <w:r>
        <w:rPr>
          <w:rFonts w:hint="eastAsia" w:ascii="仿宋_GB2312" w:hAnsi="仿宋_GB2312" w:eastAsia="仿宋_GB2312" w:cs="仿宋_GB2312"/>
          <w:sz w:val="32"/>
          <w:szCs w:val="32"/>
        </w:rPr>
        <w:t>，有足够的资金和技术实力</w:t>
      </w:r>
      <w:r>
        <w:rPr>
          <w:rFonts w:hint="eastAsia" w:ascii="仿宋_GB2312" w:hAnsi="仿宋_GB2312" w:eastAsia="仿宋_GB2312" w:cs="仿宋_GB2312"/>
          <w:sz w:val="32"/>
          <w:szCs w:val="32"/>
          <w:lang w:val="en-US" w:eastAsia="zh-CN"/>
        </w:rPr>
        <w:t>的造价咨询企业</w:t>
      </w:r>
      <w:r>
        <w:rPr>
          <w:rFonts w:hint="eastAsia" w:ascii="仿宋_GB2312" w:hAnsi="仿宋_GB2312" w:eastAsia="仿宋_GB2312" w:cs="仿宋_GB2312"/>
          <w:sz w:val="32"/>
          <w:szCs w:val="32"/>
        </w:rPr>
        <w:t>。</w:t>
      </w:r>
    </w:p>
    <w:p w14:paraId="192CAADC">
      <w:pPr>
        <w:pStyle w:val="4"/>
        <w:pageBreakBefore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③ 混合云技术</w:t>
      </w:r>
    </w:p>
    <w:p w14:paraId="40D99848">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混合云融合了公有云和私有云的优势，企业将部分业务和数据部署在公有云，部分部署在私有云，并通过网络技术实现两者之间的互联互通和数据共享。企业根据业务需求和数据特性灵活分配资源，将核心业务系统和敏感数据存储在私有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将非核心、对扩展性要求高的业务放在公有云。</w:t>
      </w:r>
    </w:p>
    <w:p w14:paraId="47FCD878">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混合云技术的</w:t>
      </w:r>
      <w:r>
        <w:rPr>
          <w:rFonts w:hint="eastAsia" w:ascii="仿宋_GB2312" w:hAnsi="仿宋_GB2312" w:eastAsia="仿宋_GB2312" w:cs="仿宋_GB2312"/>
          <w:sz w:val="32"/>
          <w:szCs w:val="32"/>
        </w:rPr>
        <w:t>优势</w:t>
      </w:r>
      <w:r>
        <w:rPr>
          <w:rFonts w:hint="eastAsia" w:ascii="仿宋_GB2312" w:hAnsi="仿宋_GB2312" w:eastAsia="仿宋_GB2312" w:cs="仿宋_GB2312"/>
          <w:sz w:val="32"/>
          <w:szCs w:val="32"/>
          <w:lang w:val="en-US" w:eastAsia="zh-CN"/>
        </w:rPr>
        <w:t>是在一定程度上</w:t>
      </w:r>
      <w:r>
        <w:rPr>
          <w:rFonts w:hint="eastAsia" w:ascii="仿宋_GB2312" w:hAnsi="仿宋_GB2312" w:eastAsia="仿宋_GB2312" w:cs="仿宋_GB2312"/>
          <w:sz w:val="32"/>
          <w:szCs w:val="32"/>
        </w:rPr>
        <w:t>兼顾安全与成本，在保障核心数据安全的前提下，利用公有云降低非核心业务成本。</w:t>
      </w:r>
    </w:p>
    <w:p w14:paraId="51926AC0">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混合云技术的</w:t>
      </w:r>
      <w:r>
        <w:rPr>
          <w:rFonts w:hint="eastAsia" w:ascii="仿宋_GB2312" w:hAnsi="仿宋_GB2312" w:eastAsia="仿宋_GB2312" w:cs="仿宋_GB2312"/>
          <w:sz w:val="32"/>
          <w:szCs w:val="32"/>
        </w:rPr>
        <w:t>劣势</w:t>
      </w:r>
      <w:r>
        <w:rPr>
          <w:rFonts w:hint="eastAsia" w:ascii="仿宋_GB2312" w:hAnsi="仿宋_GB2312" w:eastAsia="仿宋_GB2312" w:cs="仿宋_GB2312"/>
          <w:sz w:val="32"/>
          <w:szCs w:val="32"/>
          <w:lang w:val="en-US" w:eastAsia="zh-CN"/>
        </w:rPr>
        <w:t>在于</w:t>
      </w:r>
      <w:r>
        <w:rPr>
          <w:rFonts w:hint="eastAsia" w:ascii="仿宋_GB2312" w:hAnsi="仿宋_GB2312" w:eastAsia="仿宋_GB2312" w:cs="仿宋_GB2312"/>
          <w:sz w:val="32"/>
          <w:szCs w:val="32"/>
        </w:rPr>
        <w:t>架构复杂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集成难度大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rPr>
        <w:t>部署和管理两个环境，要实现公有云和私有云之间的无缝集成，平台之间兼容性、数据格式转换等问题。</w:t>
      </w:r>
    </w:p>
    <w:p w14:paraId="360E86D9">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混合云技术适用于在线服务</w:t>
      </w:r>
      <w:r>
        <w:rPr>
          <w:rFonts w:hint="eastAsia" w:ascii="仿宋_GB2312" w:hAnsi="仿宋_GB2312" w:eastAsia="仿宋_GB2312" w:cs="仿宋_GB2312"/>
          <w:sz w:val="32"/>
          <w:szCs w:val="32"/>
        </w:rPr>
        <w:t>业务需求多样化的造价咨询企业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对成本敏感且有技术能力支撑的造价咨询企业</w:t>
      </w:r>
      <w:r>
        <w:rPr>
          <w:rFonts w:hint="eastAsia" w:ascii="仿宋_GB2312" w:hAnsi="仿宋_GB2312" w:eastAsia="仿宋_GB2312" w:cs="仿宋_GB2312"/>
          <w:sz w:val="32"/>
          <w:szCs w:val="32"/>
        </w:rPr>
        <w:t>。</w:t>
      </w:r>
    </w:p>
    <w:p w14:paraId="1F4B84EF">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基于上述云计算技术特点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价咨询企业可以将云计算技术作为企业数字化转型的运行环境基座，基于云计算技术，特别是公有云技术可以大幅降低造价咨询企业数字化转型所需的计算成本和维护复杂度，通过采购云资源可以快速搭建起高可用、弹性可扩展的业务平台。</w:t>
      </w:r>
    </w:p>
    <w:p w14:paraId="308C4E78">
      <w:pPr>
        <w:pStyle w:val="6"/>
        <w:pageBreakBefore w:val="0"/>
        <w:kinsoku/>
        <w:wordWrap/>
        <w:overflowPunct/>
        <w:topLinePunct w:val="0"/>
        <w:autoSpaceDE/>
        <w:autoSpaceDN/>
        <w:bidi w:val="0"/>
        <w:spacing w:line="560" w:lineRule="exact"/>
        <w:ind w:firstLine="318" w:firstLineChars="9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 数据</w:t>
      </w:r>
      <w:r>
        <w:rPr>
          <w:rFonts w:hint="eastAsia" w:ascii="仿宋_GB2312" w:hAnsi="仿宋_GB2312" w:eastAsia="仿宋_GB2312" w:cs="仿宋_GB2312"/>
          <w:sz w:val="32"/>
          <w:szCs w:val="32"/>
          <w:lang w:val="en-US" w:eastAsia="zh-CN"/>
        </w:rPr>
        <w:t>分析、处理</w:t>
      </w:r>
      <w:r>
        <w:rPr>
          <w:rFonts w:hint="eastAsia" w:ascii="仿宋_GB2312" w:hAnsi="仿宋_GB2312" w:eastAsia="仿宋_GB2312" w:cs="仿宋_GB2312"/>
          <w:sz w:val="32"/>
          <w:szCs w:val="32"/>
        </w:rPr>
        <w:t>技术</w:t>
      </w:r>
    </w:p>
    <w:p w14:paraId="61F0A1E7">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color w:val="auto"/>
          <w:sz w:val="32"/>
          <w:szCs w:val="32"/>
        </w:rPr>
        <w:t>建筑行业</w:t>
      </w:r>
      <w:r>
        <w:rPr>
          <w:rFonts w:hint="eastAsia" w:ascii="仿宋_GB2312" w:hAnsi="仿宋_GB2312" w:eastAsia="仿宋_GB2312" w:cs="仿宋_GB2312"/>
          <w:sz w:val="32"/>
          <w:szCs w:val="32"/>
        </w:rPr>
        <w:t>数字化转型浪潮中，数据</w:t>
      </w:r>
      <w:r>
        <w:rPr>
          <w:rFonts w:hint="eastAsia" w:ascii="仿宋_GB2312" w:hAnsi="仿宋_GB2312" w:eastAsia="仿宋_GB2312" w:cs="仿宋_GB2312"/>
          <w:sz w:val="32"/>
          <w:szCs w:val="32"/>
          <w:lang w:val="en-US" w:eastAsia="zh-CN"/>
        </w:rPr>
        <w:t>分析、处理</w:t>
      </w:r>
      <w:r>
        <w:rPr>
          <w:rFonts w:hint="eastAsia" w:ascii="仿宋_GB2312" w:hAnsi="仿宋_GB2312" w:eastAsia="仿宋_GB2312" w:cs="仿宋_GB2312"/>
          <w:sz w:val="32"/>
          <w:szCs w:val="32"/>
        </w:rPr>
        <w:t>技术的应用</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造价咨询企业</w:t>
      </w:r>
      <w:r>
        <w:rPr>
          <w:rFonts w:hint="eastAsia" w:ascii="仿宋_GB2312" w:hAnsi="仿宋_GB2312" w:eastAsia="仿宋_GB2312" w:cs="仿宋_GB2312"/>
          <w:sz w:val="32"/>
          <w:szCs w:val="32"/>
          <w:lang w:val="en-US" w:eastAsia="zh-CN"/>
        </w:rPr>
        <w:t>提升自身服务能力</w:t>
      </w:r>
      <w:r>
        <w:rPr>
          <w:rFonts w:hint="eastAsia" w:ascii="仿宋_GB2312" w:hAnsi="仿宋_GB2312" w:eastAsia="仿宋_GB2312" w:cs="仿宋_GB2312"/>
          <w:sz w:val="32"/>
          <w:szCs w:val="32"/>
        </w:rPr>
        <w:t>的关键</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可以通过</w:t>
      </w:r>
      <w:r>
        <w:rPr>
          <w:rFonts w:hint="eastAsia" w:ascii="仿宋_GB2312" w:hAnsi="仿宋_GB2312" w:eastAsia="仿宋_GB2312" w:cs="仿宋_GB2312"/>
          <w:sz w:val="32"/>
          <w:szCs w:val="32"/>
        </w:rPr>
        <w:t>数据挖掘与分析，穿透历史</w:t>
      </w:r>
      <w:r>
        <w:rPr>
          <w:rFonts w:hint="eastAsia" w:ascii="仿宋_GB2312" w:hAnsi="仿宋_GB2312" w:eastAsia="仿宋_GB2312" w:cs="仿宋_GB2312"/>
          <w:sz w:val="32"/>
          <w:szCs w:val="32"/>
          <w:lang w:val="en-US" w:eastAsia="zh-CN"/>
        </w:rPr>
        <w:t>造价</w:t>
      </w:r>
      <w:r>
        <w:rPr>
          <w:rFonts w:hint="eastAsia" w:ascii="仿宋_GB2312" w:hAnsi="仿宋_GB2312" w:eastAsia="仿宋_GB2312" w:cs="仿宋_GB2312"/>
          <w:sz w:val="32"/>
          <w:szCs w:val="32"/>
        </w:rPr>
        <w:t>项目数据，剖析不同维度下的造价</w:t>
      </w:r>
      <w:r>
        <w:rPr>
          <w:rFonts w:hint="eastAsia" w:ascii="仿宋_GB2312" w:hAnsi="仿宋_GB2312" w:eastAsia="仿宋_GB2312" w:cs="仿宋_GB2312"/>
          <w:sz w:val="32"/>
          <w:szCs w:val="32"/>
          <w:lang w:val="en-US" w:eastAsia="zh-CN"/>
        </w:rPr>
        <w:t>指标</w:t>
      </w:r>
      <w:r>
        <w:rPr>
          <w:rFonts w:hint="eastAsia" w:ascii="仿宋_GB2312" w:hAnsi="仿宋_GB2312" w:eastAsia="仿宋_GB2312" w:cs="仿宋_GB2312"/>
          <w:sz w:val="32"/>
          <w:szCs w:val="32"/>
        </w:rPr>
        <w:t>，为项目各阶段决策提供科学依据；通过</w:t>
      </w:r>
      <w:r>
        <w:rPr>
          <w:rFonts w:hint="eastAsia" w:ascii="仿宋_GB2312" w:hAnsi="仿宋_GB2312" w:eastAsia="仿宋_GB2312" w:cs="仿宋_GB2312"/>
          <w:sz w:val="32"/>
          <w:szCs w:val="32"/>
          <w:lang w:val="en-US" w:eastAsia="zh-CN"/>
        </w:rPr>
        <w:t>技术手段</w:t>
      </w:r>
      <w:r>
        <w:rPr>
          <w:rFonts w:hint="eastAsia" w:ascii="仿宋_GB2312" w:hAnsi="仿宋_GB2312" w:eastAsia="仿宋_GB2312" w:cs="仿宋_GB2312"/>
          <w:sz w:val="32"/>
          <w:szCs w:val="32"/>
        </w:rPr>
        <w:t>采集整合多渠道数据，</w:t>
      </w:r>
      <w:r>
        <w:rPr>
          <w:rFonts w:hint="eastAsia" w:ascii="仿宋_GB2312" w:hAnsi="仿宋_GB2312" w:eastAsia="仿宋_GB2312" w:cs="仿宋_GB2312"/>
          <w:sz w:val="32"/>
          <w:szCs w:val="32"/>
          <w:lang w:val="en-US" w:eastAsia="zh-CN"/>
        </w:rPr>
        <w:t>识别</w:t>
      </w:r>
      <w:r>
        <w:rPr>
          <w:rFonts w:hint="eastAsia" w:ascii="仿宋_GB2312" w:hAnsi="仿宋_GB2312" w:eastAsia="仿宋_GB2312" w:cs="仿宋_GB2312"/>
          <w:sz w:val="32"/>
          <w:szCs w:val="32"/>
        </w:rPr>
        <w:t>材料价格波动、政策法规调整等市场变化，分析潜在影响，助力快速调整</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多维度交叉对比</w:t>
      </w:r>
      <w:r>
        <w:rPr>
          <w:rFonts w:hint="eastAsia" w:ascii="仿宋_GB2312" w:hAnsi="仿宋_GB2312" w:eastAsia="仿宋_GB2312" w:cs="仿宋_GB2312"/>
          <w:sz w:val="32"/>
          <w:szCs w:val="32"/>
          <w:lang w:val="en-US" w:eastAsia="zh-CN"/>
        </w:rPr>
        <w:t>能力</w:t>
      </w:r>
      <w:r>
        <w:rPr>
          <w:rFonts w:hint="eastAsia" w:ascii="仿宋_GB2312" w:hAnsi="仿宋_GB2312" w:eastAsia="仿宋_GB2312" w:cs="仿宋_GB2312"/>
          <w:sz w:val="32"/>
          <w:szCs w:val="32"/>
        </w:rPr>
        <w:t>，结合施工工艺、地域差异等因素</w:t>
      </w:r>
      <w:r>
        <w:rPr>
          <w:rFonts w:hint="eastAsia" w:ascii="仿宋_GB2312" w:hAnsi="仿宋_GB2312" w:eastAsia="仿宋_GB2312" w:cs="仿宋_GB2312"/>
          <w:sz w:val="32"/>
          <w:szCs w:val="32"/>
          <w:lang w:val="en-US" w:eastAsia="zh-CN"/>
        </w:rPr>
        <w:t>分析</w:t>
      </w:r>
      <w:r>
        <w:rPr>
          <w:rFonts w:hint="eastAsia" w:ascii="仿宋_GB2312" w:hAnsi="仿宋_GB2312" w:eastAsia="仿宋_GB2312" w:cs="仿宋_GB2312"/>
          <w:sz w:val="32"/>
          <w:szCs w:val="32"/>
        </w:rPr>
        <w:t>造价差异</w:t>
      </w:r>
      <w:r>
        <w:rPr>
          <w:rFonts w:hint="eastAsia" w:ascii="仿宋_GB2312" w:hAnsi="仿宋_GB2312" w:eastAsia="仿宋_GB2312" w:cs="仿宋_GB2312"/>
          <w:sz w:val="32"/>
          <w:szCs w:val="32"/>
          <w:lang w:val="en-US" w:eastAsia="zh-CN"/>
        </w:rPr>
        <w:t>原因</w:t>
      </w:r>
      <w:r>
        <w:rPr>
          <w:rFonts w:hint="eastAsia" w:ascii="仿宋_GB2312" w:hAnsi="仿宋_GB2312" w:eastAsia="仿宋_GB2312" w:cs="仿宋_GB2312"/>
          <w:sz w:val="32"/>
          <w:szCs w:val="32"/>
        </w:rPr>
        <w:t>，为优化资源配置与管理流程提供支撑；</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历史与实时数据预测造价走势、识别风险点，提前制定应对预案，保障项目稳健推进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综合来看</w:t>
      </w:r>
      <w:r>
        <w:rPr>
          <w:rFonts w:hint="eastAsia" w:ascii="仿宋_GB2312" w:hAnsi="仿宋_GB2312" w:eastAsia="仿宋_GB2312" w:cs="仿宋_GB2312"/>
          <w:sz w:val="32"/>
          <w:szCs w:val="32"/>
        </w:rPr>
        <w:t>，数据</w:t>
      </w:r>
      <w:r>
        <w:rPr>
          <w:rFonts w:hint="eastAsia" w:ascii="仿宋_GB2312" w:hAnsi="仿宋_GB2312" w:eastAsia="仿宋_GB2312" w:cs="仿宋_GB2312"/>
          <w:sz w:val="32"/>
          <w:szCs w:val="32"/>
          <w:lang w:val="en-US" w:eastAsia="zh-CN"/>
        </w:rPr>
        <w:t>分析、处理</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val="en-US" w:eastAsia="zh-CN"/>
        </w:rPr>
        <w:t>可以</w:t>
      </w:r>
      <w:r>
        <w:rPr>
          <w:rFonts w:hint="eastAsia" w:ascii="仿宋_GB2312" w:hAnsi="仿宋_GB2312" w:eastAsia="仿宋_GB2312" w:cs="仿宋_GB2312"/>
          <w:sz w:val="32"/>
          <w:szCs w:val="32"/>
        </w:rPr>
        <w:t>打破企业内外部数据孤岛，实现高效共享协同，将实践经验转化为结构化知识资产，促进企业知识传承与创新，全方位提升企业在复杂市场环境下的核心竞争力，实现降本增效与高质量发展。</w:t>
      </w:r>
    </w:p>
    <w:p w14:paraId="134F813B">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在具体应用过程中，造价咨询企业应关注技术本身和业务目标，不</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追求数据体量的“大”，</w:t>
      </w:r>
      <w:r>
        <w:rPr>
          <w:rFonts w:hint="eastAsia" w:ascii="仿宋_GB2312" w:hAnsi="仿宋_GB2312" w:eastAsia="仿宋_GB2312" w:cs="仿宋_GB2312"/>
          <w:sz w:val="32"/>
          <w:szCs w:val="32"/>
          <w:lang w:val="en-US" w:eastAsia="zh-CN"/>
        </w:rPr>
        <w:t>而是要追求数据的</w:t>
      </w:r>
      <w:r>
        <w:rPr>
          <w:rFonts w:hint="eastAsia" w:ascii="仿宋_GB2312" w:hAnsi="仿宋_GB2312" w:eastAsia="仿宋_GB2312" w:cs="仿宋_GB2312"/>
          <w:sz w:val="32"/>
          <w:szCs w:val="32"/>
        </w:rPr>
        <w:t>“高质量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的“可信”数据</w:t>
      </w:r>
      <w:r>
        <w:rPr>
          <w:rFonts w:hint="eastAsia" w:ascii="仿宋_GB2312" w:hAnsi="仿宋_GB2312" w:eastAsia="仿宋_GB2312" w:cs="仿宋_GB2312"/>
          <w:sz w:val="32"/>
          <w:szCs w:val="32"/>
        </w:rPr>
        <w:t>要比单纯的“大”体量数据更具有实用价值。</w:t>
      </w:r>
    </w:p>
    <w:p w14:paraId="47439133">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为了提升数据的质量和可信度，造价</w:t>
      </w:r>
      <w:r>
        <w:rPr>
          <w:rFonts w:hint="eastAsia" w:ascii="仿宋_GB2312" w:hAnsi="仿宋_GB2312" w:eastAsia="仿宋_GB2312" w:cs="仿宋_GB2312"/>
          <w:sz w:val="32"/>
          <w:szCs w:val="32"/>
        </w:rPr>
        <w:t>企业需要建立严格的数据质量管理体系，从数据采集源头把控质量，通过数据清洗、校验等手段，确保数据的准确性、完整性和一致性；同时，结合企业实际业务需求，合理选择数据</w:t>
      </w:r>
      <w:r>
        <w:rPr>
          <w:rFonts w:hint="eastAsia" w:ascii="仿宋_GB2312" w:hAnsi="仿宋_GB2312" w:eastAsia="仿宋_GB2312" w:cs="仿宋_GB2312"/>
          <w:sz w:val="32"/>
          <w:szCs w:val="32"/>
          <w:lang w:val="en-US" w:eastAsia="zh-CN"/>
        </w:rPr>
        <w:t>分析处理</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val="en-US" w:eastAsia="zh-CN"/>
        </w:rPr>
        <w:t>及相关</w:t>
      </w:r>
      <w:r>
        <w:rPr>
          <w:rFonts w:hint="eastAsia" w:ascii="仿宋_GB2312" w:hAnsi="仿宋_GB2312" w:eastAsia="仿宋_GB2312" w:cs="仿宋_GB2312"/>
          <w:sz w:val="32"/>
          <w:szCs w:val="32"/>
        </w:rPr>
        <w:t>工具。</w:t>
      </w:r>
    </w:p>
    <w:p w14:paraId="752566C5">
      <w:pPr>
        <w:pStyle w:val="6"/>
        <w:pageBreakBefore w:val="0"/>
        <w:kinsoku/>
        <w:wordWrap/>
        <w:overflowPunct/>
        <w:topLinePunct w:val="0"/>
        <w:autoSpaceDE/>
        <w:autoSpaceDN/>
        <w:bidi w:val="0"/>
        <w:spacing w:line="560" w:lineRule="exact"/>
        <w:ind w:firstLine="318" w:firstLineChars="9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 人工智能技术</w:t>
      </w:r>
    </w:p>
    <w:p w14:paraId="2E7BC11F">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随着信息科技的飞速发展，人工智能技术正深刻变革着人们的生活与工作模式。人工智能技术涵盖传统人工智能技术与新一代大语言模型技术，二者各有千秋，共同推动着智能时代的前行。</w:t>
      </w:r>
    </w:p>
    <w:p w14:paraId="4C9EDF3E">
      <w:pPr>
        <w:pStyle w:val="4"/>
        <w:pageBreakBefore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① 传统人工智能技术</w:t>
      </w:r>
    </w:p>
    <w:p w14:paraId="4696AF2D">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传统人工智能技术，常被称作符号主义或基于规则的AI。其构建依赖于</w:t>
      </w:r>
      <w:r>
        <w:rPr>
          <w:rFonts w:hint="eastAsia" w:ascii="仿宋_GB2312" w:hAnsi="仿宋_GB2312" w:eastAsia="仿宋_GB2312" w:cs="仿宋_GB2312"/>
          <w:sz w:val="32"/>
          <w:szCs w:val="32"/>
          <w:lang w:val="en-US" w:eastAsia="zh-CN"/>
        </w:rPr>
        <w:t>特定</w:t>
      </w:r>
      <w:r>
        <w:rPr>
          <w:rFonts w:hint="eastAsia" w:ascii="仿宋_GB2312" w:hAnsi="仿宋_GB2312" w:eastAsia="仿宋_GB2312" w:cs="仿宋_GB2312"/>
          <w:sz w:val="32"/>
          <w:szCs w:val="32"/>
        </w:rPr>
        <w:t>的编程规则和算法，通过</w:t>
      </w:r>
      <w:r>
        <w:rPr>
          <w:rFonts w:hint="eastAsia" w:ascii="仿宋_GB2312" w:hAnsi="仿宋_GB2312" w:eastAsia="仿宋_GB2312" w:cs="仿宋_GB2312"/>
          <w:sz w:val="32"/>
          <w:szCs w:val="32"/>
          <w:lang w:val="en-US" w:eastAsia="zh-CN"/>
        </w:rPr>
        <w:t>编程</w:t>
      </w:r>
      <w:r>
        <w:rPr>
          <w:rFonts w:hint="eastAsia" w:ascii="仿宋_GB2312" w:hAnsi="仿宋_GB2312" w:eastAsia="仿宋_GB2312" w:cs="仿宋_GB2312"/>
          <w:sz w:val="32"/>
          <w:szCs w:val="32"/>
        </w:rPr>
        <w:t>给定的一系列规则，让机器针对特定情况做出反应。</w:t>
      </w:r>
      <w:r>
        <w:rPr>
          <w:rFonts w:hint="eastAsia" w:ascii="仿宋_GB2312" w:hAnsi="仿宋_GB2312" w:eastAsia="仿宋_GB2312" w:cs="仿宋_GB2312"/>
          <w:sz w:val="32"/>
          <w:szCs w:val="32"/>
          <w:lang w:val="en-US" w:eastAsia="zh-CN"/>
        </w:rPr>
        <w:t>传统人工智能技术在自然语言处理、图像识别、语音识别等领域取得了许多重大突破，也为建设</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施工管理提供了很多有益的帮助与支持。</w:t>
      </w:r>
    </w:p>
    <w:p w14:paraId="76C81031">
      <w:pPr>
        <w:pStyle w:val="4"/>
        <w:pageBreakBefore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② 新一代人工智能技术</w:t>
      </w:r>
    </w:p>
    <w:p w14:paraId="6271E35B">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新一代大语言模型技术则带来了全新突破。国内有许多代表性的大模型厂商，模型从</w:t>
      </w:r>
      <w:r>
        <w:rPr>
          <w:rFonts w:hint="eastAsia" w:ascii="仿宋_GB2312" w:hAnsi="仿宋_GB2312" w:eastAsia="仿宋_GB2312" w:cs="仿宋_GB2312"/>
          <w:sz w:val="32"/>
          <w:szCs w:val="32"/>
          <w:lang w:val="en-US" w:eastAsia="zh-CN"/>
        </w:rPr>
        <w:t>海量</w:t>
      </w:r>
      <w:r>
        <w:rPr>
          <w:rFonts w:hint="eastAsia" w:ascii="仿宋_GB2312" w:hAnsi="仿宋_GB2312" w:eastAsia="仿宋_GB2312" w:cs="仿宋_GB2312"/>
          <w:sz w:val="32"/>
          <w:szCs w:val="32"/>
        </w:rPr>
        <w:t>知识中融合学习得到预训练大模型。相比传统人工智能，新一代大语言模型技术不依赖大量人工编写规则，通过大规模数据训练学习工程领域的知识模式和语言逻辑，能处理更广泛、复杂的工程任务，理解工程专业语言的灵活性和准确性大幅提升，在各领域展现出巨大应用潜力。</w:t>
      </w:r>
    </w:p>
    <w:p w14:paraId="25DE577E">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随着新一代人工智能技术的不断发展，自动化的数据清洗、标识工作变得更准确且成本低廉。特别是在新一代人工智能技术的兴起后，进一步降低了采用人工智能技术进行数据加工处理的成本和门槛。</w:t>
      </w:r>
    </w:p>
    <w:p w14:paraId="3E4BCDBD">
      <w:pPr>
        <w:pStyle w:val="4"/>
        <w:pageBreakBefore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③ 智能体</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 xml:space="preserve">AI </w:t>
      </w:r>
      <w:r>
        <w:rPr>
          <w:rFonts w:hint="eastAsia" w:ascii="仿宋_GB2312" w:hAnsi="仿宋_GB2312" w:eastAsia="仿宋_GB2312" w:cs="仿宋_GB2312"/>
          <w:b/>
          <w:bCs/>
          <w:sz w:val="32"/>
          <w:szCs w:val="32"/>
        </w:rPr>
        <w:t>Agent</w:t>
      </w:r>
      <w:r>
        <w:rPr>
          <w:rFonts w:hint="eastAsia" w:ascii="仿宋_GB2312" w:hAnsi="仿宋_GB2312" w:eastAsia="仿宋_GB2312" w:cs="仿宋_GB2312"/>
          <w:b/>
          <w:bCs/>
          <w:sz w:val="32"/>
          <w:szCs w:val="32"/>
          <w:lang w:eastAsia="zh-CN"/>
        </w:rPr>
        <w:t>）</w:t>
      </w:r>
    </w:p>
    <w:p w14:paraId="55330C3C">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智能体可以通过调用大模型或工具协助用户完成某一具体任务。</w:t>
      </w:r>
      <w:r>
        <w:rPr>
          <w:rFonts w:hint="eastAsia" w:ascii="仿宋_GB2312" w:hAnsi="仿宋_GB2312" w:eastAsia="仿宋_GB2312" w:cs="仿宋_GB2312"/>
          <w:sz w:val="32"/>
          <w:szCs w:val="32"/>
        </w:rPr>
        <w:t>新一代智能体编排工具依托大语言模型与低代码开发框架，通过可自定义的提示词模板、插件系统和工作流编排，实现从数据处理到决策支持的全链条能力集成。</w:t>
      </w:r>
    </w:p>
    <w:p w14:paraId="72532ED7">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在实际造价业务场景中，智能体展现出显著的定制化优势。在投资估算阶段，</w:t>
      </w:r>
      <w:r>
        <w:rPr>
          <w:rFonts w:hint="eastAsia" w:ascii="仿宋_GB2312" w:hAnsi="仿宋_GB2312" w:eastAsia="仿宋_GB2312" w:cs="仿宋_GB2312"/>
          <w:sz w:val="32"/>
          <w:szCs w:val="32"/>
          <w:lang w:val="en-US" w:eastAsia="zh-CN"/>
        </w:rPr>
        <w:t>可以通过智能体</w:t>
      </w:r>
      <w:r>
        <w:rPr>
          <w:rFonts w:hint="eastAsia" w:ascii="仿宋_GB2312" w:hAnsi="仿宋_GB2312" w:eastAsia="仿宋_GB2312" w:cs="仿宋_GB2312"/>
          <w:sz w:val="32"/>
          <w:szCs w:val="32"/>
        </w:rPr>
        <w:t>将历史项目指标库、地方造价规范等数据整合为知识库，结合大语言模型的文本解析能力，自动生成多版本估算方案。</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施工阶段，</w:t>
      </w:r>
      <w:r>
        <w:rPr>
          <w:rFonts w:hint="eastAsia" w:ascii="仿宋_GB2312" w:hAnsi="仿宋_GB2312" w:eastAsia="仿宋_GB2312" w:cs="仿宋_GB2312"/>
          <w:sz w:val="32"/>
          <w:szCs w:val="32"/>
          <w:lang w:val="en-US" w:eastAsia="zh-CN"/>
        </w:rPr>
        <w:t>智能体</w:t>
      </w:r>
      <w:r>
        <w:rPr>
          <w:rFonts w:hint="eastAsia" w:ascii="仿宋_GB2312" w:hAnsi="仿宋_GB2312" w:eastAsia="仿宋_GB2312" w:cs="仿宋_GB2312"/>
          <w:sz w:val="32"/>
          <w:szCs w:val="32"/>
        </w:rPr>
        <w:t>能</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对接项目管理系统，抓取设计变更单与现场签证数据，基于预配置的合同条款解析模块，自动计算变更费用影响，生成可视化的成本波动分析报告。</w:t>
      </w:r>
    </w:p>
    <w:p w14:paraId="16910CB6">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与传统智能工具相比，智能体的核心价值体现在“低门槛的深度定制”与“生态化的能力扩展”。</w:t>
      </w:r>
      <w:r>
        <w:rPr>
          <w:rFonts w:hint="eastAsia" w:ascii="仿宋_GB2312" w:hAnsi="仿宋_GB2312" w:eastAsia="仿宋_GB2312" w:cs="仿宋_GB2312"/>
          <w:sz w:val="32"/>
          <w:szCs w:val="32"/>
          <w:lang w:val="en-US" w:eastAsia="zh-CN"/>
        </w:rPr>
        <w:t>通过智能体，</w:t>
      </w:r>
      <w:r>
        <w:rPr>
          <w:rFonts w:hint="eastAsia" w:ascii="仿宋_GB2312" w:hAnsi="仿宋_GB2312" w:eastAsia="仿宋_GB2312" w:cs="仿宋_GB2312"/>
          <w:sz w:val="32"/>
          <w:szCs w:val="32"/>
        </w:rPr>
        <w:t>造价咨询企业可通过拖拉拽的方式，将定额、材料价格数据、BIM 模型</w:t>
      </w:r>
      <w:r>
        <w:rPr>
          <w:rFonts w:hint="eastAsia" w:ascii="仿宋_GB2312" w:hAnsi="仿宋_GB2312" w:eastAsia="仿宋_GB2312" w:cs="仿宋_GB2312"/>
          <w:sz w:val="32"/>
          <w:szCs w:val="32"/>
          <w:lang w:val="en-US" w:eastAsia="zh-CN"/>
        </w:rPr>
        <w:t>等以API</w:t>
      </w:r>
      <w:r>
        <w:rPr>
          <w:rFonts w:hint="eastAsia" w:ascii="仿宋_GB2312" w:hAnsi="仿宋_GB2312" w:eastAsia="仿宋_GB2312" w:cs="仿宋_GB2312"/>
          <w:sz w:val="32"/>
          <w:szCs w:val="32"/>
        </w:rPr>
        <w:t>接口</w:t>
      </w:r>
      <w:r>
        <w:rPr>
          <w:rFonts w:hint="eastAsia" w:ascii="仿宋_GB2312" w:hAnsi="仿宋_GB2312" w:eastAsia="仿宋_GB2312" w:cs="仿宋_GB2312"/>
          <w:sz w:val="32"/>
          <w:szCs w:val="32"/>
          <w:lang w:val="en-US" w:eastAsia="zh-CN"/>
        </w:rPr>
        <w:t>的形式</w:t>
      </w:r>
      <w:r>
        <w:rPr>
          <w:rFonts w:hint="eastAsia" w:ascii="仿宋_GB2312" w:hAnsi="仿宋_GB2312" w:eastAsia="仿宋_GB2312" w:cs="仿宋_GB2312"/>
          <w:sz w:val="32"/>
          <w:szCs w:val="32"/>
        </w:rPr>
        <w:t>集成到智能体工作流中。</w:t>
      </w:r>
    </w:p>
    <w:p w14:paraId="673B8D27">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此外，智能体编排工具支持多智能体协同作业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例如，</w:t>
      </w:r>
      <w:r>
        <w:rPr>
          <w:rFonts w:hint="eastAsia" w:ascii="仿宋_GB2312" w:hAnsi="仿宋_GB2312" w:eastAsia="仿宋_GB2312" w:cs="仿宋_GB2312"/>
          <w:sz w:val="32"/>
          <w:szCs w:val="32"/>
        </w:rPr>
        <w:t>在大型EPC项目中，</w:t>
      </w:r>
      <w:r>
        <w:rPr>
          <w:rFonts w:hint="eastAsia" w:ascii="仿宋_GB2312" w:hAnsi="仿宋_GB2312" w:eastAsia="仿宋_GB2312" w:cs="仿宋_GB2312"/>
          <w:sz w:val="32"/>
          <w:szCs w:val="32"/>
          <w:lang w:val="en-US" w:eastAsia="zh-CN"/>
        </w:rPr>
        <w:t>可以考虑将</w:t>
      </w:r>
      <w:r>
        <w:rPr>
          <w:rFonts w:hint="eastAsia" w:ascii="仿宋_GB2312" w:hAnsi="仿宋_GB2312" w:eastAsia="仿宋_GB2312" w:cs="仿宋_GB2312"/>
          <w:sz w:val="32"/>
          <w:szCs w:val="32"/>
        </w:rPr>
        <w:t>“成本控制智能体”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“进度管理智能体”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“合同履约智能体”</w:t>
      </w:r>
      <w:r>
        <w:rPr>
          <w:rFonts w:hint="eastAsia" w:ascii="仿宋_GB2312" w:hAnsi="仿宋_GB2312" w:eastAsia="仿宋_GB2312" w:cs="仿宋_GB2312"/>
          <w:sz w:val="32"/>
          <w:szCs w:val="32"/>
          <w:lang w:val="en-US" w:eastAsia="zh-CN"/>
        </w:rPr>
        <w:t>结合使用，</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流程编排、事件驱动的方式</w:t>
      </w:r>
      <w:r>
        <w:rPr>
          <w:rFonts w:hint="eastAsia" w:ascii="仿宋_GB2312" w:hAnsi="仿宋_GB2312" w:eastAsia="仿宋_GB2312" w:cs="仿宋_GB2312"/>
          <w:sz w:val="32"/>
          <w:szCs w:val="32"/>
        </w:rPr>
        <w:t>构建动态监控网络，当检测到进度滞后可能引发成本超支时，系统自动触发跨智能体的联合分析，并输出包含工期压缩方案与费用调整建议的综合应对策略。</w:t>
      </w:r>
    </w:p>
    <w:p w14:paraId="0E361534">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造价咨询企业可以通过</w:t>
      </w:r>
      <w:r>
        <w:rPr>
          <w:rFonts w:hint="eastAsia" w:ascii="仿宋_GB2312" w:hAnsi="仿宋_GB2312" w:eastAsia="仿宋_GB2312" w:cs="仿宋_GB2312"/>
          <w:sz w:val="32"/>
          <w:szCs w:val="32"/>
        </w:rPr>
        <w:t>这种基于智能体编排工具构建的智能体生态，打破传统造价软件功能固化的局限，赋予企业根据业务需求快速迭代智能应用的能力。</w:t>
      </w:r>
      <w:r>
        <w:rPr>
          <w:rFonts w:hint="eastAsia" w:ascii="仿宋_GB2312" w:hAnsi="仿宋_GB2312" w:eastAsia="仿宋_GB2312" w:cs="仿宋_GB2312"/>
          <w:b/>
          <w:bCs/>
          <w:sz w:val="32"/>
          <w:szCs w:val="32"/>
          <w:u w:val="single"/>
        </w:rPr>
        <w:t>从单个任务自动化到全流程协同决策，智能体</w:t>
      </w:r>
      <w:r>
        <w:rPr>
          <w:rFonts w:hint="eastAsia" w:ascii="仿宋_GB2312" w:hAnsi="仿宋_GB2312" w:eastAsia="仿宋_GB2312" w:cs="仿宋_GB2312"/>
          <w:b/>
          <w:bCs/>
          <w:sz w:val="32"/>
          <w:szCs w:val="32"/>
          <w:u w:val="single"/>
          <w:lang w:val="en-US" w:eastAsia="zh-CN"/>
        </w:rPr>
        <w:t>技术有能力</w:t>
      </w:r>
      <w:r>
        <w:rPr>
          <w:rFonts w:hint="eastAsia" w:ascii="仿宋_GB2312" w:hAnsi="仿宋_GB2312" w:eastAsia="仿宋_GB2312" w:cs="仿宋_GB2312"/>
          <w:b/>
          <w:bCs/>
          <w:sz w:val="32"/>
          <w:szCs w:val="32"/>
          <w:u w:val="single"/>
        </w:rPr>
        <w:t>推动造价咨询行业向“高度敏捷、深度智能”的方向迈进，帮助企业在复杂多变的市场环境中实现降本增效与服务升级。</w:t>
      </w:r>
    </w:p>
    <w:p w14:paraId="616030F3">
      <w:pPr>
        <w:pStyle w:val="6"/>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 BIM技术</w:t>
      </w:r>
    </w:p>
    <w:p w14:paraId="18516A52">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在建筑行业数字化浪潮中，BIM技术备受重视</w:t>
      </w:r>
      <w:r>
        <w:rPr>
          <w:rFonts w:hint="eastAsia" w:ascii="仿宋_GB2312" w:hAnsi="仿宋_GB2312" w:eastAsia="仿宋_GB2312" w:cs="仿宋_GB2312"/>
          <w:sz w:val="32"/>
          <w:szCs w:val="32"/>
          <w:lang w:val="en-US" w:eastAsia="zh-CN"/>
        </w:rPr>
        <w:t>是建筑行业未来发展的</w:t>
      </w:r>
      <w:r>
        <w:rPr>
          <w:rFonts w:hint="eastAsia" w:ascii="仿宋_GB2312" w:hAnsi="仿宋_GB2312" w:eastAsia="仿宋_GB2312" w:cs="仿宋_GB2312"/>
          <w:sz w:val="32"/>
          <w:szCs w:val="32"/>
        </w:rPr>
        <w:t>核心技术之一，会重塑建设工程全生命周期的管理模式与协作效率。这项起源于20世纪70年代的技术，历经数十年发展，已从单纯的三维建模工具演变为集成建筑全生命周期信息的数字化管理平台。它以三维数字模型为载体，将建筑工程项目的几何形状、空间关系、物理属性、功能特性等信息进行整合与关联，构建出一个可视化、参数化、智能化的建筑信息数据库。</w:t>
      </w:r>
    </w:p>
    <w:p w14:paraId="48EBA115">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BIM 技术的核心价值体现在其对多维度信息的整合与协同能力。从设计阶段的方案比选、结构分析，到施工阶段的进度模拟、碰撞检测，再到运营阶段的设备维护、能源管理，BIM 模型贯穿项目全流程，为各参与方提供统一的数据基准。例如，在建设项目中，设计师可利用BIM技术进行空间优化与管线综合排布，提前规避设计冲突；施工方通过 BIM管理平台，可以实现施工进度与成本的动态监控；运维阶段，物业人员借助 BIM 模型快速定位设备位置，调取维护手册与历史维修记录，大幅提升管理效率。</w:t>
      </w:r>
    </w:p>
    <w:p w14:paraId="7CCF7859">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造价咨询企业在</w:t>
      </w:r>
      <w:r>
        <w:rPr>
          <w:rFonts w:hint="eastAsia" w:ascii="仿宋_GB2312" w:hAnsi="仿宋_GB2312" w:eastAsia="仿宋_GB2312" w:cs="仿宋_GB2312"/>
          <w:color w:val="auto"/>
          <w:sz w:val="32"/>
          <w:szCs w:val="32"/>
          <w:lang w:val="en-US" w:eastAsia="zh-CN"/>
        </w:rPr>
        <w:t>工程项目的</w:t>
      </w:r>
      <w:r>
        <w:rPr>
          <w:rFonts w:hint="eastAsia" w:ascii="仿宋_GB2312" w:hAnsi="仿宋_GB2312" w:eastAsia="仿宋_GB2312" w:cs="仿宋_GB2312"/>
          <w:color w:val="auto"/>
          <w:sz w:val="32"/>
          <w:szCs w:val="32"/>
        </w:rPr>
        <w:t>不同阶段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都能借助BIM</w:t>
      </w:r>
      <w:r>
        <w:rPr>
          <w:rFonts w:hint="eastAsia" w:ascii="仿宋_GB2312" w:hAnsi="仿宋_GB2312" w:eastAsia="仿宋_GB2312" w:cs="仿宋_GB2312"/>
          <w:color w:val="auto"/>
          <w:sz w:val="32"/>
          <w:szCs w:val="32"/>
          <w:lang w:val="en-US" w:eastAsia="zh-CN"/>
        </w:rPr>
        <w:t>技术</w:t>
      </w:r>
      <w:r>
        <w:rPr>
          <w:rFonts w:hint="eastAsia" w:ascii="仿宋_GB2312" w:hAnsi="仿宋_GB2312" w:eastAsia="仿宋_GB2312" w:cs="仿宋_GB2312"/>
          <w:color w:val="auto"/>
          <w:sz w:val="32"/>
          <w:szCs w:val="32"/>
        </w:rPr>
        <w:t>实</w:t>
      </w:r>
      <w:r>
        <w:rPr>
          <w:rFonts w:hint="eastAsia" w:ascii="仿宋_GB2312" w:hAnsi="仿宋_GB2312" w:eastAsia="仿宋_GB2312" w:cs="仿宋_GB2312"/>
          <w:color w:val="auto"/>
          <w:sz w:val="32"/>
          <w:szCs w:val="32"/>
          <w:lang w:val="en-US" w:eastAsia="zh-CN"/>
        </w:rPr>
        <w:t>施全过程工程咨询，实现</w:t>
      </w:r>
      <w:r>
        <w:rPr>
          <w:rFonts w:hint="eastAsia" w:ascii="仿宋_GB2312" w:hAnsi="仿宋_GB2312" w:eastAsia="仿宋_GB2312" w:cs="仿宋_GB2312"/>
          <w:color w:val="auto"/>
          <w:sz w:val="32"/>
          <w:szCs w:val="32"/>
        </w:rPr>
        <w:t>精准控制投资</w:t>
      </w:r>
      <w:r>
        <w:rPr>
          <w:rFonts w:hint="eastAsia" w:ascii="仿宋_GB2312" w:hAnsi="仿宋_GB2312" w:eastAsia="仿宋_GB2312" w:cs="仿宋_GB2312"/>
          <w:color w:val="auto"/>
          <w:sz w:val="32"/>
          <w:szCs w:val="32"/>
          <w:lang w:val="en-US" w:eastAsia="zh-CN"/>
        </w:rPr>
        <w:t>的目标</w:t>
      </w:r>
      <w:r>
        <w:rPr>
          <w:rFonts w:hint="eastAsia" w:ascii="仿宋_GB2312" w:hAnsi="仿宋_GB2312" w:eastAsia="仿宋_GB2312" w:cs="仿宋_GB2312"/>
          <w:color w:val="auto"/>
          <w:sz w:val="32"/>
          <w:szCs w:val="32"/>
        </w:rPr>
        <w:t>。在方案设计阶段，利用BIM模型的参数化，结合历史数据估算不同设计方案的成本，</w:t>
      </w:r>
      <w:r>
        <w:rPr>
          <w:rFonts w:hint="eastAsia" w:ascii="仿宋_GB2312" w:hAnsi="仿宋_GB2312" w:eastAsia="仿宋_GB2312" w:cs="仿宋_GB2312"/>
          <w:color w:val="auto"/>
          <w:sz w:val="32"/>
          <w:szCs w:val="32"/>
          <w:lang w:val="en-US" w:eastAsia="zh-CN"/>
        </w:rPr>
        <w:t>便于确定最合理的投资数额，选择最佳投资策略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rPr>
        <w:t>初步设计阶段，从更详细的BIM模型提取构件</w:t>
      </w:r>
      <w:r>
        <w:rPr>
          <w:rFonts w:hint="eastAsia" w:ascii="仿宋_GB2312" w:hAnsi="仿宋_GB2312" w:eastAsia="仿宋_GB2312" w:cs="仿宋_GB2312"/>
          <w:color w:val="auto"/>
          <w:sz w:val="32"/>
          <w:szCs w:val="32"/>
          <w:lang w:val="en-US" w:eastAsia="zh-CN"/>
        </w:rPr>
        <w:t>等相关工程计量</w:t>
      </w:r>
      <w:r>
        <w:rPr>
          <w:rFonts w:hint="eastAsia" w:ascii="仿宋_GB2312" w:hAnsi="仿宋_GB2312" w:eastAsia="仿宋_GB2312" w:cs="仿宋_GB2312"/>
          <w:color w:val="auto"/>
          <w:sz w:val="32"/>
          <w:szCs w:val="32"/>
        </w:rPr>
        <w:t>信息，</w:t>
      </w:r>
      <w:r>
        <w:rPr>
          <w:rFonts w:hint="eastAsia" w:ascii="仿宋_GB2312" w:hAnsi="仿宋_GB2312" w:eastAsia="仿宋_GB2312" w:cs="仿宋_GB2312"/>
          <w:color w:val="auto"/>
          <w:sz w:val="32"/>
          <w:szCs w:val="32"/>
          <w:lang w:val="en-US" w:eastAsia="zh-CN"/>
        </w:rPr>
        <w:t>快速</w:t>
      </w:r>
      <w:r>
        <w:rPr>
          <w:rFonts w:hint="eastAsia" w:ascii="仿宋_GB2312" w:hAnsi="仿宋_GB2312" w:eastAsia="仿宋_GB2312" w:cs="仿宋_GB2312"/>
          <w:color w:val="auto"/>
          <w:sz w:val="32"/>
          <w:szCs w:val="32"/>
        </w:rPr>
        <w:t>形成概算，还能分析设计是否经济合理，给出优化建议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rPr>
        <w:t>施工图设计阶段，</w:t>
      </w:r>
      <w:r>
        <w:rPr>
          <w:rFonts w:hint="eastAsia" w:ascii="仿宋_GB2312" w:hAnsi="仿宋_GB2312" w:eastAsia="仿宋_GB2312" w:cs="仿宋_GB2312"/>
          <w:color w:val="auto"/>
          <w:sz w:val="32"/>
          <w:szCs w:val="32"/>
          <w:lang w:val="en-US" w:eastAsia="zh-CN"/>
        </w:rPr>
        <w:t>可依据初步设计</w:t>
      </w:r>
      <w:r>
        <w:rPr>
          <w:rFonts w:hint="eastAsia" w:ascii="仿宋_GB2312" w:hAnsi="仿宋_GB2312" w:eastAsia="仿宋_GB2312" w:cs="仿宋_GB2312"/>
          <w:color w:val="auto"/>
          <w:sz w:val="32"/>
          <w:szCs w:val="32"/>
        </w:rPr>
        <w:t>BIM模型</w:t>
      </w:r>
      <w:r>
        <w:rPr>
          <w:rFonts w:hint="eastAsia" w:ascii="仿宋_GB2312" w:hAnsi="仿宋_GB2312" w:eastAsia="仿宋_GB2312" w:cs="仿宋_GB2312"/>
          <w:color w:val="auto"/>
          <w:sz w:val="32"/>
          <w:szCs w:val="32"/>
          <w:lang w:val="en-US" w:eastAsia="zh-CN"/>
        </w:rPr>
        <w:t>应用成果推行限额施工图设计，并</w:t>
      </w:r>
      <w:r>
        <w:rPr>
          <w:rFonts w:hint="eastAsia" w:ascii="仿宋_GB2312" w:hAnsi="仿宋_GB2312" w:eastAsia="仿宋_GB2312" w:cs="仿宋_GB2312"/>
          <w:color w:val="auto"/>
          <w:sz w:val="32"/>
          <w:szCs w:val="32"/>
        </w:rPr>
        <w:t>依据精确的BIM模型精准算量计价，设计变更时也能快速评估对投资的影响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rPr>
        <w:t>施工阶段，依据施工</w:t>
      </w:r>
      <w:r>
        <w:rPr>
          <w:rFonts w:hint="eastAsia" w:ascii="仿宋_GB2312" w:hAnsi="仿宋_GB2312" w:eastAsia="仿宋_GB2312" w:cs="仿宋_GB2312"/>
          <w:color w:val="auto"/>
          <w:sz w:val="32"/>
          <w:szCs w:val="32"/>
          <w:lang w:val="en-US" w:eastAsia="zh-CN"/>
        </w:rPr>
        <w:t>精度的</w:t>
      </w:r>
      <w:r>
        <w:rPr>
          <w:rFonts w:hint="eastAsia" w:ascii="仿宋_GB2312" w:hAnsi="仿宋_GB2312" w:eastAsia="仿宋_GB2312" w:cs="仿宋_GB2312"/>
          <w:color w:val="auto"/>
          <w:sz w:val="32"/>
          <w:szCs w:val="32"/>
        </w:rPr>
        <w:t>BIM模型，结合进度动态计量工程量，监控成本，一旦出现实际成本与计划成本偏差，及时找出原因并解决；</w:t>
      </w:r>
      <w:r>
        <w:rPr>
          <w:rFonts w:hint="eastAsia" w:ascii="仿宋_GB2312" w:hAnsi="仿宋_GB2312" w:eastAsia="仿宋_GB2312" w:cs="仿宋_GB2312"/>
          <w:color w:val="auto"/>
          <w:sz w:val="32"/>
          <w:szCs w:val="32"/>
          <w:lang w:val="en-US" w:eastAsia="zh-CN"/>
        </w:rPr>
        <w:t>对于工程变更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可以先</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BIM</w:t>
      </w:r>
      <w:r>
        <w:rPr>
          <w:rFonts w:hint="eastAsia" w:ascii="仿宋_GB2312" w:hAnsi="仿宋_GB2312" w:eastAsia="仿宋_GB2312" w:cs="仿宋_GB2312"/>
          <w:color w:val="auto"/>
          <w:sz w:val="32"/>
          <w:szCs w:val="32"/>
        </w:rPr>
        <w:t>模型上模拟变更，更新工程量和造价，判断变更是否可行，全程跟踪确保变更费用准确计量，从而实现施工过程的投资动态管控。</w:t>
      </w:r>
    </w:p>
    <w:p w14:paraId="698BFE4D">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BIM技术</w:t>
      </w:r>
      <w:r>
        <w:rPr>
          <w:rFonts w:hint="eastAsia" w:ascii="仿宋_GB2312" w:hAnsi="仿宋_GB2312" w:eastAsia="仿宋_GB2312" w:cs="仿宋_GB2312"/>
          <w:color w:val="auto"/>
          <w:sz w:val="32"/>
          <w:szCs w:val="32"/>
        </w:rPr>
        <w:t>这种全流程的信息集成能力，将有效打破传统模式下各阶段的数据孤岛，减少各阶段不必要的重复计量计价</w:t>
      </w:r>
      <w:r>
        <w:rPr>
          <w:rFonts w:hint="eastAsia" w:ascii="仿宋_GB2312" w:hAnsi="仿宋_GB2312" w:eastAsia="仿宋_GB2312" w:cs="仿宋_GB2312"/>
          <w:color w:val="0070C0"/>
          <w:sz w:val="32"/>
          <w:szCs w:val="32"/>
        </w:rPr>
        <w:t>，</w:t>
      </w:r>
      <w:r>
        <w:rPr>
          <w:rFonts w:hint="eastAsia" w:ascii="仿宋_GB2312" w:hAnsi="仿宋_GB2312" w:eastAsia="仿宋_GB2312" w:cs="仿宋_GB2312"/>
          <w:color w:val="auto"/>
          <w:sz w:val="32"/>
          <w:szCs w:val="32"/>
          <w:lang w:val="en-US" w:eastAsia="zh-CN"/>
        </w:rPr>
        <w:t>提高工作效率，</w:t>
      </w:r>
      <w:r>
        <w:rPr>
          <w:rFonts w:hint="eastAsia" w:ascii="仿宋_GB2312" w:hAnsi="仿宋_GB2312" w:eastAsia="仿宋_GB2312" w:cs="仿宋_GB2312"/>
          <w:color w:val="auto"/>
          <w:sz w:val="32"/>
          <w:szCs w:val="32"/>
          <w:lang w:eastAsia="zh-CN"/>
        </w:rPr>
        <w:t>提高信息传递的精准度，</w:t>
      </w:r>
      <w:r>
        <w:rPr>
          <w:rFonts w:hint="eastAsia" w:ascii="仿宋_GB2312" w:hAnsi="仿宋_GB2312" w:eastAsia="仿宋_GB2312" w:cs="仿宋_GB2312"/>
          <w:color w:val="auto"/>
          <w:sz w:val="32"/>
          <w:szCs w:val="32"/>
        </w:rPr>
        <w:t>减少信息传递损耗，降低项目风险。造价咨询企业可以通过BIM技术达成精确工程量计算、有效控制</w:t>
      </w:r>
      <w:r>
        <w:rPr>
          <w:rFonts w:hint="eastAsia" w:ascii="仿宋_GB2312" w:hAnsi="仿宋_GB2312" w:eastAsia="仿宋_GB2312" w:cs="仿宋_GB2312"/>
          <w:color w:val="auto"/>
          <w:sz w:val="32"/>
          <w:szCs w:val="32"/>
          <w:lang w:val="en-US" w:eastAsia="zh-CN"/>
        </w:rPr>
        <w:t>项目投资</w:t>
      </w:r>
      <w:r>
        <w:rPr>
          <w:rFonts w:hint="eastAsia" w:ascii="仿宋_GB2312" w:hAnsi="仿宋_GB2312" w:eastAsia="仿宋_GB2312" w:cs="仿宋_GB2312"/>
          <w:color w:val="auto"/>
          <w:sz w:val="32"/>
          <w:szCs w:val="32"/>
        </w:rPr>
        <w:t xml:space="preserve">、优化项目进度管理、多方协同共享、提升数字化管理水平等目标。 </w:t>
      </w:r>
    </w:p>
    <w:p w14:paraId="780AD73B">
      <w:pPr>
        <w:pStyle w:val="6"/>
        <w:pageBreakBefore w:val="0"/>
        <w:kinsoku/>
        <w:wordWrap/>
        <w:overflowPunct/>
        <w:topLinePunct w:val="0"/>
        <w:autoSpaceDE/>
        <w:autoSpaceDN/>
        <w:bidi w:val="0"/>
        <w:spacing w:line="560" w:lineRule="exact"/>
        <w:ind w:firstLine="318" w:firstLineChars="9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2.2.5 区块链</w:t>
      </w:r>
      <w:r>
        <w:rPr>
          <w:rFonts w:hint="eastAsia" w:ascii="仿宋_GB2312" w:hAnsi="仿宋_GB2312" w:eastAsia="仿宋_GB2312" w:cs="仿宋_GB2312"/>
          <w:sz w:val="32"/>
          <w:szCs w:val="32"/>
          <w:lang w:val="en-US" w:eastAsia="zh-CN"/>
        </w:rPr>
        <w:t>及数字存证技术</w:t>
      </w:r>
    </w:p>
    <w:p w14:paraId="12B77EA2">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区块链技术是非常具有潜力的数据存证技术底座，随着技术的不断成熟、社会认可度的不断提高，区块链技术一定会迎来应用的爆发。</w:t>
      </w:r>
    </w:p>
    <w:p w14:paraId="0F2778CA">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区块链按照其权属划分，可以分为公有链、私有链、联盟链、混合链；按照应用领域和功能特性划分，可以分为数字货币链、金融链、</w:t>
      </w:r>
      <w:r>
        <w:rPr>
          <w:rFonts w:hint="eastAsia" w:ascii="仿宋_GB2312" w:hAnsi="仿宋_GB2312" w:eastAsia="仿宋_GB2312" w:cs="仿宋_GB2312"/>
          <w:sz w:val="32"/>
          <w:szCs w:val="32"/>
          <w:lang w:eastAsia="zh-CN"/>
        </w:rPr>
        <w:t>供应链</w:t>
      </w:r>
      <w:r>
        <w:rPr>
          <w:rFonts w:hint="eastAsia" w:ascii="仿宋_GB2312" w:hAnsi="仿宋_GB2312" w:eastAsia="仿宋_GB2312" w:cs="仿宋_GB2312"/>
          <w:sz w:val="32"/>
          <w:szCs w:val="32"/>
        </w:rPr>
        <w:t>、溯源链等；从技术架构角度划分，又可分为基础链、侧链、跨链等。链上存储的数据可以是数据本体或数据的信息摘要。不同类型的区块链在技术特点、应用场景和发展前景等方面都各有差异。</w:t>
      </w:r>
    </w:p>
    <w:p w14:paraId="199FD169">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从成本和实用性角度出发，本指导意见涉及的区块链技术是指“公有链”，造价咨询企业的主要应用点在于存证、溯源。</w:t>
      </w:r>
    </w:p>
    <w:p w14:paraId="376A73D3">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传统造价咨询业务中，数据认证和取证是重要的工作内容。随着数字经济发展不断深化，区块链技术凭借其独特的技术特性，必将为全社会以及造价咨询行业发展带来了新的机遇与变革方向，同时也面临着应用挑战。</w:t>
      </w:r>
    </w:p>
    <w:p w14:paraId="1049826D">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就造价咨询服务而言，区块链技术的具体应用点</w:t>
      </w:r>
      <w:r>
        <w:rPr>
          <w:rFonts w:hint="eastAsia" w:ascii="仿宋_GB2312" w:hAnsi="仿宋_GB2312" w:eastAsia="仿宋_GB2312" w:cs="仿宋_GB2312"/>
          <w:b/>
          <w:bCs/>
          <w:sz w:val="32"/>
          <w:szCs w:val="32"/>
          <w:u w:val="single"/>
          <w:lang w:val="en-US" w:eastAsia="zh-CN"/>
        </w:rPr>
        <w:t>有</w:t>
      </w:r>
      <w:r>
        <w:rPr>
          <w:rFonts w:hint="eastAsia" w:ascii="仿宋_GB2312" w:hAnsi="仿宋_GB2312" w:eastAsia="仿宋_GB2312" w:cs="仿宋_GB2312"/>
          <w:b/>
          <w:bCs/>
          <w:sz w:val="32"/>
          <w:szCs w:val="32"/>
          <w:u w:val="single"/>
        </w:rPr>
        <w:t>工程数据存证与溯源</w:t>
      </w:r>
      <w:r>
        <w:rPr>
          <w:rFonts w:hint="eastAsia" w:ascii="仿宋_GB2312" w:hAnsi="仿宋_GB2312" w:eastAsia="仿宋_GB2312" w:cs="仿宋_GB2312"/>
          <w:b/>
          <w:bCs/>
          <w:sz w:val="32"/>
          <w:szCs w:val="32"/>
          <w:u w:val="single"/>
          <w:lang w:eastAsia="zh-CN"/>
        </w:rPr>
        <w:t>、</w:t>
      </w:r>
      <w:r>
        <w:rPr>
          <w:rFonts w:hint="eastAsia" w:ascii="仿宋_GB2312" w:hAnsi="仿宋_GB2312" w:eastAsia="仿宋_GB2312" w:cs="仿宋_GB2312"/>
          <w:b/>
          <w:bCs/>
          <w:sz w:val="32"/>
          <w:szCs w:val="32"/>
          <w:u w:val="single"/>
        </w:rPr>
        <w:t>供应链协同与成本管控</w:t>
      </w:r>
      <w:r>
        <w:rPr>
          <w:rFonts w:hint="eastAsia" w:ascii="仿宋_GB2312" w:hAnsi="仿宋_GB2312" w:eastAsia="仿宋_GB2312" w:cs="仿宋_GB2312"/>
          <w:b/>
          <w:bCs/>
          <w:sz w:val="32"/>
          <w:szCs w:val="32"/>
          <w:u w:val="single"/>
          <w:lang w:eastAsia="zh-CN"/>
        </w:rPr>
        <w:t>、</w:t>
      </w:r>
      <w:r>
        <w:rPr>
          <w:rFonts w:hint="eastAsia" w:ascii="仿宋_GB2312" w:hAnsi="仿宋_GB2312" w:eastAsia="仿宋_GB2312" w:cs="仿宋_GB2312"/>
          <w:b/>
          <w:bCs/>
          <w:sz w:val="32"/>
          <w:szCs w:val="32"/>
          <w:u w:val="single"/>
        </w:rPr>
        <w:t>多方协同与授信管理</w:t>
      </w:r>
      <w:r>
        <w:rPr>
          <w:rFonts w:hint="eastAsia" w:ascii="仿宋_GB2312" w:hAnsi="仿宋_GB2312" w:eastAsia="仿宋_GB2312" w:cs="仿宋_GB2312"/>
          <w:b/>
          <w:bCs/>
          <w:sz w:val="32"/>
          <w:szCs w:val="32"/>
          <w:u w:val="single"/>
          <w:lang w:eastAsia="zh-CN"/>
        </w:rPr>
        <w:t>、</w:t>
      </w:r>
      <w:r>
        <w:rPr>
          <w:rFonts w:hint="eastAsia" w:ascii="仿宋_GB2312" w:hAnsi="仿宋_GB2312" w:eastAsia="仿宋_GB2312" w:cs="仿宋_GB2312"/>
          <w:b/>
          <w:bCs/>
          <w:sz w:val="32"/>
          <w:szCs w:val="32"/>
          <w:u w:val="single"/>
        </w:rPr>
        <w:t>智能合约管理</w:t>
      </w:r>
      <w:r>
        <w:rPr>
          <w:rFonts w:hint="eastAsia" w:ascii="仿宋_GB2312" w:hAnsi="仿宋_GB2312" w:eastAsia="仿宋_GB2312" w:cs="仿宋_GB2312"/>
          <w:b/>
          <w:bCs/>
          <w:sz w:val="32"/>
          <w:szCs w:val="32"/>
          <w:u w:val="single"/>
          <w:lang w:val="en-US" w:eastAsia="zh-CN"/>
        </w:rPr>
        <w:t>等</w:t>
      </w:r>
      <w:r>
        <w:rPr>
          <w:rFonts w:hint="eastAsia" w:ascii="仿宋_GB2312" w:hAnsi="仿宋_GB2312" w:eastAsia="仿宋_GB2312" w:cs="仿宋_GB2312"/>
          <w:b/>
          <w:bCs/>
          <w:sz w:val="32"/>
          <w:szCs w:val="32"/>
          <w:u w:val="single"/>
        </w:rPr>
        <w:t>。</w:t>
      </w:r>
    </w:p>
    <w:p w14:paraId="42E123CB">
      <w:pPr>
        <w:pStyle w:val="3"/>
        <w:pageBreakBefore w:val="0"/>
        <w:kinsoku/>
        <w:wordWrap/>
        <w:overflowPunct/>
        <w:topLinePunct w:val="0"/>
        <w:autoSpaceDE/>
        <w:autoSpaceDN/>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数字化转型的关键方向与重点领域</w:t>
      </w:r>
    </w:p>
    <w:p w14:paraId="3D6AFA7C">
      <w:pPr>
        <w:pStyle w:val="6"/>
        <w:pageBreakBefore w:val="0"/>
        <w:kinsoku/>
        <w:wordWrap/>
        <w:overflowPunct/>
        <w:topLinePunct w:val="0"/>
        <w:autoSpaceDE/>
        <w:autoSpaceDN/>
        <w:bidi w:val="0"/>
        <w:spacing w:line="560" w:lineRule="exact"/>
        <w:ind w:left="0" w:leftChars="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2.3.1 造价咨询企业数字化转型框架</w:t>
      </w:r>
    </w:p>
    <w:p w14:paraId="526E839E">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造价咨询企业数字化转型，是数字技术在工程造价具体业务领域的应用。本</w:t>
      </w:r>
      <w:r>
        <w:rPr>
          <w:rFonts w:hint="eastAsia" w:ascii="仿宋_GB2312" w:hAnsi="仿宋_GB2312" w:eastAsia="仿宋_GB2312" w:cs="仿宋_GB2312"/>
          <w:color w:val="auto"/>
          <w:sz w:val="32"/>
          <w:szCs w:val="32"/>
        </w:rPr>
        <w:t>“指导意见2.0”为造价咨询企业数字化转型提出</w:t>
      </w:r>
      <w:r>
        <w:rPr>
          <w:rFonts w:hint="eastAsia" w:ascii="仿宋_GB2312" w:hAnsi="仿宋_GB2312" w:eastAsia="仿宋_GB2312" w:cs="仿宋_GB2312"/>
          <w:color w:val="auto"/>
          <w:sz w:val="32"/>
          <w:szCs w:val="32"/>
          <w:lang w:val="en-US" w:eastAsia="zh-CN"/>
        </w:rPr>
        <w:t>了整体的数字化转型框架，以便企业能够对该项工作从总体上进行把握。造价咨询企业数字化转型框架包括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一体化”的</w:t>
      </w:r>
      <w:r>
        <w:rPr>
          <w:rFonts w:hint="eastAsia" w:ascii="仿宋_GB2312" w:hAnsi="仿宋_GB2312" w:eastAsia="仿宋_GB2312" w:cs="仿宋_GB2312"/>
          <w:color w:val="auto"/>
          <w:sz w:val="32"/>
          <w:szCs w:val="32"/>
        </w:rPr>
        <w:t>业务</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平台、“高质量、可信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数据管理体系、智能复核系统、以投资控制为核心的全过程工程咨询平台四个关键方向作为重点突破的领域。</w:t>
      </w:r>
    </w:p>
    <w:p w14:paraId="6380A737">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eastAsia="仿宋"/>
          <w:lang w:eastAsia="zh-CN"/>
        </w:rPr>
        <w:drawing>
          <wp:anchor distT="0" distB="0" distL="114300" distR="114300" simplePos="0" relativeHeight="251659264" behindDoc="0" locked="0" layoutInCell="1" allowOverlap="1">
            <wp:simplePos x="0" y="0"/>
            <wp:positionH relativeFrom="column">
              <wp:posOffset>-88900</wp:posOffset>
            </wp:positionH>
            <wp:positionV relativeFrom="paragraph">
              <wp:posOffset>674370</wp:posOffset>
            </wp:positionV>
            <wp:extent cx="5370830" cy="3952240"/>
            <wp:effectExtent l="0" t="0" r="1270" b="10160"/>
            <wp:wrapNone/>
            <wp:docPr id="4" name="图片 4" descr="造价咨询企业数字化转型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造价咨询企业数字化转型2.0"/>
                    <pic:cNvPicPr>
                      <a:picLocks noChangeAspect="1"/>
                    </pic:cNvPicPr>
                  </pic:nvPicPr>
                  <pic:blipFill>
                    <a:blip r:embed="rId7"/>
                    <a:srcRect r="2302"/>
                    <a:stretch>
                      <a:fillRect/>
                    </a:stretch>
                  </pic:blipFill>
                  <pic:spPr>
                    <a:xfrm>
                      <a:off x="0" y="0"/>
                      <a:ext cx="5370830" cy="3952240"/>
                    </a:xfrm>
                    <a:prstGeom prst="rect">
                      <a:avLst/>
                    </a:prstGeom>
                  </pic:spPr>
                </pic:pic>
              </a:graphicData>
            </a:graphic>
          </wp:anchor>
        </w:drawing>
      </w:r>
      <w:r>
        <w:rPr>
          <w:rFonts w:hint="eastAsia" w:ascii="仿宋_GB2312" w:hAnsi="仿宋_GB2312" w:eastAsia="仿宋_GB2312" w:cs="仿宋_GB2312"/>
          <w:color w:val="auto"/>
          <w:sz w:val="32"/>
          <w:szCs w:val="32"/>
        </w:rPr>
        <w:t>以上四个方面的</w:t>
      </w:r>
      <w:r>
        <w:rPr>
          <w:rFonts w:hint="eastAsia" w:ascii="仿宋_GB2312" w:hAnsi="仿宋_GB2312" w:eastAsia="仿宋_GB2312" w:cs="仿宋_GB2312"/>
          <w:color w:val="auto"/>
          <w:sz w:val="32"/>
          <w:szCs w:val="32"/>
          <w:lang w:val="en-US" w:eastAsia="zh-CN"/>
        </w:rPr>
        <w:t>相互协调、互为补充，共同组成造价咨询企业数字化转型“全貌”，转型</w:t>
      </w:r>
      <w:r>
        <w:rPr>
          <w:rFonts w:hint="eastAsia" w:ascii="仿宋_GB2312" w:hAnsi="仿宋_GB2312" w:eastAsia="仿宋_GB2312" w:cs="仿宋_GB2312"/>
          <w:color w:val="auto"/>
          <w:sz w:val="32"/>
          <w:szCs w:val="32"/>
        </w:rPr>
        <w:t>逻辑</w:t>
      </w:r>
      <w:r>
        <w:rPr>
          <w:rFonts w:hint="eastAsia" w:ascii="仿宋_GB2312" w:hAnsi="仿宋_GB2312" w:eastAsia="仿宋_GB2312" w:cs="仿宋_GB2312"/>
          <w:color w:val="auto"/>
          <w:sz w:val="32"/>
          <w:szCs w:val="32"/>
          <w:lang w:val="en-US" w:eastAsia="zh-CN"/>
        </w:rPr>
        <w:t>框架如</w:t>
      </w:r>
      <w:r>
        <w:rPr>
          <w:rFonts w:hint="eastAsia" w:ascii="仿宋_GB2312" w:hAnsi="仿宋_GB2312" w:eastAsia="仿宋_GB2312" w:cs="仿宋_GB2312"/>
          <w:color w:val="auto"/>
          <w:sz w:val="32"/>
          <w:szCs w:val="32"/>
        </w:rPr>
        <w:t>下图所示。</w:t>
      </w:r>
    </w:p>
    <w:p w14:paraId="551B4AB1">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p>
    <w:p w14:paraId="056304B9">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p>
    <w:p w14:paraId="30DAD90E">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p>
    <w:p w14:paraId="24988562">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p>
    <w:p w14:paraId="1736005C">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p>
    <w:p w14:paraId="1A407A17">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p>
    <w:p w14:paraId="20928B9F">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p>
    <w:p w14:paraId="7C37D669">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p>
    <w:p w14:paraId="4AF9D062">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p>
    <w:p w14:paraId="6ED2B364">
      <w:pPr>
        <w:pStyle w:val="4"/>
        <w:pageBreakBefore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p>
    <w:p w14:paraId="7F87DF94">
      <w:pPr>
        <w:pStyle w:val="4"/>
        <w:spacing w:line="240" w:lineRule="auto"/>
        <w:ind w:firstLine="0" w:firstLineChars="0"/>
        <w:jc w:val="both"/>
        <w:rPr>
          <w:rFonts w:hint="eastAsia" w:eastAsia="仿宋"/>
          <w:lang w:eastAsia="zh-CN"/>
        </w:rPr>
      </w:pPr>
    </w:p>
    <w:p w14:paraId="73F04058">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00B050"/>
          <w:sz w:val="32"/>
          <w:szCs w:val="32"/>
          <w:lang w:val="en-US" w:eastAsia="zh-CN"/>
        </w:rPr>
      </w:pPr>
      <w:r>
        <w:rPr>
          <w:rFonts w:hint="eastAsia" w:ascii="仿宋_GB2312" w:hAnsi="仿宋_GB2312" w:eastAsia="仿宋_GB2312" w:cs="仿宋_GB2312"/>
          <w:color w:val="auto"/>
          <w:sz w:val="32"/>
          <w:szCs w:val="32"/>
          <w:lang w:val="en-US" w:eastAsia="zh-CN"/>
        </w:rPr>
        <w:t>在上述四个方面中，</w:t>
      </w:r>
      <w:r>
        <w:rPr>
          <w:rFonts w:hint="eastAsia" w:ascii="仿宋_GB2312" w:hAnsi="仿宋_GB2312" w:eastAsia="仿宋_GB2312" w:cs="仿宋_GB2312"/>
          <w:b/>
          <w:bCs/>
          <w:color w:val="auto"/>
          <w:sz w:val="32"/>
          <w:szCs w:val="32"/>
          <w:lang w:val="en-US" w:eastAsia="zh-CN"/>
        </w:rPr>
        <w:t>“一体化”的业务管理平台</w:t>
      </w:r>
      <w:r>
        <w:rPr>
          <w:rFonts w:hint="eastAsia" w:ascii="仿宋_GB2312" w:hAnsi="仿宋_GB2312" w:eastAsia="仿宋_GB2312" w:cs="仿宋_GB2312"/>
          <w:color w:val="auto"/>
          <w:sz w:val="32"/>
          <w:szCs w:val="32"/>
          <w:lang w:val="en-US" w:eastAsia="zh-CN"/>
        </w:rPr>
        <w:t>是管理数字化领域的关键系统，是为造价咨询企业数字化转型奠定基础的底座。</w:t>
      </w:r>
      <w:r>
        <w:rPr>
          <w:rFonts w:hint="eastAsia" w:ascii="仿宋_GB2312" w:hAnsi="仿宋_GB2312" w:eastAsia="仿宋_GB2312" w:cs="仿宋_GB2312"/>
          <w:b/>
          <w:bCs/>
          <w:color w:val="auto"/>
          <w:sz w:val="32"/>
          <w:szCs w:val="32"/>
          <w:lang w:val="en-US" w:eastAsia="zh-CN"/>
        </w:rPr>
        <w:t>“高质量、可信”数据管理体系</w:t>
      </w:r>
      <w:r>
        <w:rPr>
          <w:rFonts w:hint="eastAsia" w:ascii="仿宋_GB2312" w:hAnsi="仿宋_GB2312" w:eastAsia="仿宋_GB2312" w:cs="仿宋_GB2312"/>
          <w:color w:val="auto"/>
          <w:sz w:val="32"/>
          <w:szCs w:val="32"/>
          <w:lang w:val="en-US" w:eastAsia="zh-CN"/>
        </w:rPr>
        <w:t>是数字化转型工作的关键，也是造价咨询企业数字化转型提质增效的“引擎”，数据管理体系建设得好，造价咨询企业数字化转型带来的效率和效益提升就强。</w:t>
      </w:r>
      <w:r>
        <w:rPr>
          <w:rFonts w:hint="eastAsia" w:ascii="仿宋_GB2312" w:hAnsi="仿宋_GB2312" w:eastAsia="仿宋_GB2312" w:cs="仿宋_GB2312"/>
          <w:b/>
          <w:bCs/>
          <w:color w:val="auto"/>
          <w:sz w:val="32"/>
          <w:szCs w:val="32"/>
          <w:lang w:val="en-US" w:eastAsia="zh-CN"/>
        </w:rPr>
        <w:t>智能复核系统</w:t>
      </w:r>
      <w:r>
        <w:rPr>
          <w:rFonts w:hint="eastAsia" w:ascii="仿宋_GB2312" w:hAnsi="仿宋_GB2312" w:eastAsia="仿宋_GB2312" w:cs="仿宋_GB2312"/>
          <w:color w:val="auto"/>
          <w:sz w:val="32"/>
          <w:szCs w:val="32"/>
          <w:lang w:val="en-US" w:eastAsia="zh-CN"/>
        </w:rPr>
        <w:t>是内外衔接、数据应用的关键抓手和提效工具，造价咨询企业做好“智能复核”就可以打通企业内造价咨询数据流通的“全链路”。</w:t>
      </w:r>
      <w:r>
        <w:rPr>
          <w:rFonts w:hint="eastAsia" w:ascii="仿宋_GB2312" w:hAnsi="仿宋_GB2312" w:eastAsia="仿宋_GB2312" w:cs="仿宋_GB2312"/>
          <w:b/>
          <w:bCs/>
          <w:color w:val="auto"/>
          <w:sz w:val="32"/>
          <w:szCs w:val="32"/>
          <w:lang w:val="en-US" w:eastAsia="zh-CN"/>
        </w:rPr>
        <w:t>以投资控制为核心的全过程工程咨询平台</w:t>
      </w:r>
      <w:r>
        <w:rPr>
          <w:rFonts w:hint="eastAsia" w:ascii="仿宋_GB2312" w:hAnsi="仿宋_GB2312" w:eastAsia="仿宋_GB2312" w:cs="仿宋_GB2312"/>
          <w:color w:val="auto"/>
          <w:sz w:val="32"/>
          <w:szCs w:val="32"/>
          <w:lang w:val="en-US" w:eastAsia="zh-CN"/>
        </w:rPr>
        <w:t>是造价咨询企业数字化转型工作中业务数字化转型领域与企业业务能力整合在一起的综合体现。</w:t>
      </w:r>
      <w:r>
        <w:rPr>
          <w:rFonts w:hint="eastAsia" w:ascii="仿宋_GB2312" w:hAnsi="仿宋_GB2312" w:eastAsia="仿宋_GB2312" w:cs="仿宋_GB2312"/>
          <w:b/>
          <w:bCs/>
          <w:color w:val="auto"/>
          <w:sz w:val="32"/>
          <w:szCs w:val="32"/>
          <w:lang w:val="en-US" w:eastAsia="zh-CN"/>
        </w:rPr>
        <w:t>数字工程造价咨询服务</w:t>
      </w:r>
      <w:r>
        <w:rPr>
          <w:rFonts w:hint="eastAsia" w:ascii="仿宋_GB2312" w:hAnsi="仿宋_GB2312" w:eastAsia="仿宋_GB2312" w:cs="仿宋_GB2312"/>
          <w:color w:val="auto"/>
          <w:sz w:val="32"/>
          <w:szCs w:val="32"/>
          <w:lang w:val="en-US" w:eastAsia="zh-CN"/>
        </w:rPr>
        <w:t>重在解决常规性造价咨询中的数字技术应用，虽然不在关键方向和重点领域中，但其也是造价咨询企业数字化转型成果的在业务数字化转型领域的体现。</w:t>
      </w:r>
    </w:p>
    <w:p w14:paraId="7789A0E0">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可以看到，业务数字化转型和管理数字化转型相互作用，业务数字化转型领域的工作会倒逼管理数字化领域能力的提升，管理数字化领域的提升会培育出新的业务增长点。</w:t>
      </w:r>
    </w:p>
    <w:p w14:paraId="17C55CB5">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造价咨询企业数字化转型，涵盖企业日常经营管理工作的各个方面，在具体操作时，需结合企业自身资源禀赋、业务特点进行选择。</w:t>
      </w:r>
    </w:p>
    <w:p w14:paraId="2E6F4B52">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具体建设内容建议如下：</w:t>
      </w:r>
    </w:p>
    <w:p w14:paraId="369893A6">
      <w:pPr>
        <w:pStyle w:val="6"/>
        <w:pageBreakBefore w:val="0"/>
        <w:widowControl w:val="0"/>
        <w:kinsoku/>
        <w:wordWrap/>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一体化”的</w:t>
      </w:r>
      <w:r>
        <w:rPr>
          <w:rFonts w:hint="eastAsia" w:ascii="仿宋_GB2312" w:hAnsi="仿宋_GB2312" w:eastAsia="仿宋_GB2312" w:cs="仿宋_GB2312"/>
          <w:sz w:val="32"/>
          <w:szCs w:val="32"/>
        </w:rPr>
        <w:t>业务管理平台建设</w:t>
      </w:r>
    </w:p>
    <w:p w14:paraId="73FC265D">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延续“指导意见1.0版”的要求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一体化”的</w:t>
      </w:r>
      <w:r>
        <w:rPr>
          <w:rFonts w:hint="eastAsia" w:ascii="仿宋_GB2312" w:hAnsi="仿宋_GB2312" w:eastAsia="仿宋_GB2312" w:cs="仿宋_GB2312"/>
          <w:sz w:val="32"/>
          <w:szCs w:val="32"/>
        </w:rPr>
        <w:t>业务管理平台仍然是造价咨询企业数字化转型的关键方向和重点工作领域，该平台的建设几乎涵盖了管理数字化转型的全部内容。</w:t>
      </w:r>
    </w:p>
    <w:p w14:paraId="1530954C">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“一体化”是打破数据孤岛的关键，具体要求涵盖了设计一体化、建设一体化、协同一体化三个层次。</w:t>
      </w:r>
    </w:p>
    <w:p w14:paraId="5659CF33">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设计一体化是指该平台从设计阶段就应当考虑系统的一体化，统一规划数据、信息、业务的流转，尽可能覆盖所有可用终端包括手机、PC、平板以及一些定制的物联网设备。</w:t>
      </w:r>
    </w:p>
    <w:p w14:paraId="0A8F468E">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建设一体化是指该平台在系统建设时应当落实设计一体化要求，统筹各系统之间的数据、信息、业务流转，预留数据接口，为后续业务扩展留有足够的扩展空间。</w:t>
      </w:r>
    </w:p>
    <w:p w14:paraId="5FD3CCD0">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协同一体化是指该平台</w:t>
      </w:r>
      <w:r>
        <w:rPr>
          <w:rFonts w:hint="eastAsia" w:ascii="仿宋_GB2312" w:hAnsi="仿宋_GB2312" w:eastAsia="仿宋_GB2312" w:cs="仿宋_GB2312"/>
          <w:b/>
          <w:bCs/>
          <w:color w:val="auto"/>
          <w:sz w:val="32"/>
          <w:szCs w:val="32"/>
          <w:lang w:val="en-US" w:eastAsia="zh-CN"/>
        </w:rPr>
        <w:t>首先</w:t>
      </w:r>
      <w:r>
        <w:rPr>
          <w:rFonts w:hint="eastAsia" w:ascii="仿宋_GB2312" w:hAnsi="仿宋_GB2312" w:eastAsia="仿宋_GB2312" w:cs="仿宋_GB2312"/>
          <w:color w:val="auto"/>
          <w:sz w:val="32"/>
          <w:szCs w:val="32"/>
          <w:lang w:val="en-US" w:eastAsia="zh-CN"/>
        </w:rPr>
        <w:t>在企业内部管理流程和业务流程衔接过程中实现一体化管理，通过组织能力和管理要求实现两者的有机融合与协同运行，对信息系统未覆盖的环节进行有效补充，是实现管理效能的必要手段。同时，该平台要为同服务对象及其他干系人建立协同机制，预留必要的数据接口。</w:t>
      </w:r>
    </w:p>
    <w:p w14:paraId="74C166A2">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造价咨询企业通过搭建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一体化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业务管理平台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可以</w:t>
      </w:r>
      <w:r>
        <w:rPr>
          <w:rFonts w:hint="eastAsia" w:ascii="仿宋_GB2312" w:hAnsi="仿宋_GB2312" w:eastAsia="仿宋_GB2312" w:cs="仿宋_GB2312"/>
          <w:color w:val="auto"/>
          <w:sz w:val="32"/>
          <w:szCs w:val="32"/>
        </w:rPr>
        <w:t>加强企业内部治理，练好管理数字化转型“内功”，打通内部各个环节的堵点，保障企业内部资源流、信息流</w:t>
      </w:r>
      <w:r>
        <w:rPr>
          <w:rFonts w:hint="eastAsia" w:ascii="仿宋_GB2312" w:hAnsi="仿宋_GB2312" w:eastAsia="仿宋_GB2312" w:cs="仿宋_GB2312"/>
          <w:color w:val="auto"/>
          <w:sz w:val="32"/>
          <w:szCs w:val="32"/>
          <w:lang w:val="en-US" w:eastAsia="zh-CN"/>
        </w:rPr>
        <w:t>的流动顺畅与高效利用</w:t>
      </w:r>
      <w:r>
        <w:rPr>
          <w:rFonts w:hint="eastAsia" w:ascii="仿宋_GB2312" w:hAnsi="仿宋_GB2312" w:eastAsia="仿宋_GB2312" w:cs="仿宋_GB2312"/>
          <w:color w:val="auto"/>
          <w:sz w:val="32"/>
          <w:szCs w:val="32"/>
        </w:rPr>
        <w:t>，才能实现精细化管理，将企业运营管理成本降到最低，增强企业应对各种市场变化风险的能力。</w:t>
      </w:r>
    </w:p>
    <w:p w14:paraId="10F2B4A3">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“一体化”的</w:t>
      </w:r>
      <w:r>
        <w:rPr>
          <w:rFonts w:hint="eastAsia" w:ascii="仿宋_GB2312" w:hAnsi="仿宋_GB2312" w:eastAsia="仿宋_GB2312" w:cs="仿宋_GB2312"/>
          <w:b/>
          <w:bCs/>
          <w:sz w:val="32"/>
          <w:szCs w:val="32"/>
        </w:rPr>
        <w:t>业务</w:t>
      </w:r>
      <w:r>
        <w:rPr>
          <w:rFonts w:hint="eastAsia" w:ascii="仿宋_GB2312" w:hAnsi="仿宋_GB2312" w:eastAsia="仿宋_GB2312" w:cs="仿宋_GB2312"/>
          <w:b/>
          <w:bCs/>
          <w:sz w:val="32"/>
          <w:szCs w:val="32"/>
          <w:lang w:val="en-US" w:eastAsia="zh-CN"/>
        </w:rPr>
        <w:t>管理</w:t>
      </w:r>
      <w:r>
        <w:rPr>
          <w:rFonts w:hint="eastAsia" w:ascii="仿宋_GB2312" w:hAnsi="仿宋_GB2312" w:eastAsia="仿宋_GB2312" w:cs="仿宋_GB2312"/>
          <w:b/>
          <w:bCs/>
          <w:sz w:val="32"/>
          <w:szCs w:val="32"/>
        </w:rPr>
        <w:t>平台建设的标志性成果为，</w:t>
      </w:r>
      <w:r>
        <w:rPr>
          <w:rFonts w:hint="eastAsia" w:ascii="仿宋_GB2312" w:hAnsi="仿宋_GB2312" w:eastAsia="仿宋_GB2312" w:cs="仿宋_GB2312"/>
          <w:sz w:val="32"/>
          <w:szCs w:val="32"/>
        </w:rPr>
        <w:t>客户、合同、项目、发票、收款、人员绩效、业务档案全</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在线管理，内部数据流转顺畅无阻碍，全岗位在线办公，数据以结构化数据管理。以下是业务</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平台的主要功能及相关目标，企业可以根据自身实际情况参照以下清单进行调整优化。</w:t>
      </w:r>
    </w:p>
    <w:p w14:paraId="19647926">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基础功能</w:t>
      </w:r>
    </w:p>
    <w:p w14:paraId="668D4600">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“一体化”的</w:t>
      </w:r>
      <w:r>
        <w:rPr>
          <w:rFonts w:hint="eastAsia" w:ascii="仿宋_GB2312" w:hAnsi="仿宋_GB2312" w:eastAsia="仿宋_GB2312" w:cs="仿宋_GB2312"/>
          <w:sz w:val="32"/>
          <w:szCs w:val="32"/>
        </w:rPr>
        <w:t>业务</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以下简称“业务管理平台”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需要具备多组织架构、多用户、多角色管理的基础能力。</w:t>
      </w:r>
    </w:p>
    <w:p w14:paraId="109B5644">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造价咨询企业在建设业务管理平台时，解决了内部数据流转的问题，但是也会引入数据安全管理的挑战，合理</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组织设计和角色规划实现功能权限、数据权限的有效管理。</w:t>
      </w:r>
    </w:p>
    <w:p w14:paraId="00EBE6BE">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常用的数据权限包括：本人数据、本部门及以下数据、本单位及以下数据、系统全量数据。</w:t>
      </w:r>
    </w:p>
    <w:tbl>
      <w:tblPr>
        <w:tblStyle w:val="18"/>
        <w:tblW w:w="4998" w:type="pct"/>
        <w:tblInd w:w="0" w:type="dxa"/>
        <w:tblLayout w:type="fixed"/>
        <w:tblCellMar>
          <w:top w:w="0" w:type="dxa"/>
          <w:left w:w="108" w:type="dxa"/>
          <w:bottom w:w="0" w:type="dxa"/>
          <w:right w:w="108" w:type="dxa"/>
        </w:tblCellMar>
      </w:tblPr>
      <w:tblGrid>
        <w:gridCol w:w="600"/>
        <w:gridCol w:w="1273"/>
        <w:gridCol w:w="4416"/>
        <w:gridCol w:w="2230"/>
      </w:tblGrid>
      <w:tr w14:paraId="241C7DBE">
        <w:tblPrEx>
          <w:tblCellMar>
            <w:top w:w="0" w:type="dxa"/>
            <w:left w:w="108" w:type="dxa"/>
            <w:bottom w:w="0" w:type="dxa"/>
            <w:right w:w="108" w:type="dxa"/>
          </w:tblCellMar>
        </w:tblPrEx>
        <w:trPr>
          <w:trHeight w:val="480" w:hRule="atLeast"/>
        </w:trPr>
        <w:tc>
          <w:tcPr>
            <w:tcW w:w="352"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59FA2AAF">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序号</w:t>
            </w:r>
          </w:p>
        </w:tc>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3C02F">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功能名称</w:t>
            </w:r>
          </w:p>
        </w:tc>
        <w:tc>
          <w:tcPr>
            <w:tcW w:w="25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66829">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功能描述</w:t>
            </w:r>
          </w:p>
        </w:tc>
        <w:tc>
          <w:tcPr>
            <w:tcW w:w="1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4DD7C">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目标</w:t>
            </w:r>
          </w:p>
        </w:tc>
      </w:tr>
      <w:tr w14:paraId="17741F16">
        <w:tblPrEx>
          <w:tblCellMar>
            <w:top w:w="0" w:type="dxa"/>
            <w:left w:w="108" w:type="dxa"/>
            <w:bottom w:w="0" w:type="dxa"/>
            <w:right w:w="108" w:type="dxa"/>
          </w:tblCellMar>
        </w:tblPrEx>
        <w:trPr>
          <w:trHeight w:val="987" w:hRule="atLeast"/>
        </w:trPr>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28F3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BB8A9">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组织架构管理</w:t>
            </w:r>
          </w:p>
        </w:tc>
        <w:tc>
          <w:tcPr>
            <w:tcW w:w="25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E4CE0">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用于管理企业的组织架构。可适应多层级组织架构管理的要求，也适应行政管理架构和业务架构不一致的情况。</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F8582">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rPr>
              <w:t>设置管理层级，</w:t>
            </w:r>
            <w:r>
              <w:rPr>
                <w:rFonts w:hint="eastAsia" w:ascii="仿宋_GB2312" w:hAnsi="仿宋_GB2312" w:eastAsia="仿宋_GB2312" w:cs="仿宋_GB2312"/>
                <w:color w:val="auto"/>
                <w:sz w:val="24"/>
                <w:szCs w:val="24"/>
                <w:lang w:val="en-US" w:eastAsia="zh-CN"/>
              </w:rPr>
              <w:t>并</w:t>
            </w:r>
            <w:r>
              <w:rPr>
                <w:rFonts w:hint="eastAsia" w:ascii="仿宋_GB2312" w:hAnsi="仿宋_GB2312" w:eastAsia="仿宋_GB2312" w:cs="仿宋_GB2312"/>
                <w:color w:val="auto"/>
                <w:sz w:val="24"/>
                <w:szCs w:val="24"/>
              </w:rPr>
              <w:t>对照部门、单位</w:t>
            </w:r>
            <w:r>
              <w:rPr>
                <w:rFonts w:hint="eastAsia" w:ascii="仿宋_GB2312" w:hAnsi="仿宋_GB2312" w:eastAsia="仿宋_GB2312" w:cs="仿宋_GB2312"/>
                <w:color w:val="auto"/>
                <w:sz w:val="24"/>
                <w:szCs w:val="24"/>
                <w:lang w:val="en-US" w:eastAsia="zh-CN"/>
              </w:rPr>
              <w:t>的基本架构，</w:t>
            </w:r>
            <w:r>
              <w:rPr>
                <w:rFonts w:hint="eastAsia" w:ascii="仿宋_GB2312" w:hAnsi="仿宋_GB2312" w:eastAsia="仿宋_GB2312" w:cs="仿宋_GB2312"/>
                <w:color w:val="auto"/>
                <w:sz w:val="24"/>
                <w:szCs w:val="24"/>
              </w:rPr>
              <w:t>设置人员所在层级。</w:t>
            </w:r>
          </w:p>
        </w:tc>
      </w:tr>
      <w:tr w14:paraId="7428F749">
        <w:tblPrEx>
          <w:tblCellMar>
            <w:top w:w="0" w:type="dxa"/>
            <w:left w:w="108" w:type="dxa"/>
            <w:bottom w:w="0" w:type="dxa"/>
            <w:right w:w="108" w:type="dxa"/>
          </w:tblCellMar>
        </w:tblPrEx>
        <w:trPr>
          <w:trHeight w:val="418" w:hRule="atLeast"/>
        </w:trPr>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AC9E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CE4C9">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用户管理</w:t>
            </w:r>
          </w:p>
        </w:tc>
        <w:tc>
          <w:tcPr>
            <w:tcW w:w="25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FA527">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用于管理系统中的用户。提供用户创建、启用、禁用、重置密码、设置权限等功能。系统中的用户与企业人力资源管理中的人员有对应关系，但没有强制要求必须一一对应。</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DAE10">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管理系统用户账号，控制其权限、登录授权等。</w:t>
            </w:r>
          </w:p>
        </w:tc>
      </w:tr>
      <w:tr w14:paraId="7EA46078">
        <w:tblPrEx>
          <w:tblCellMar>
            <w:top w:w="0" w:type="dxa"/>
            <w:left w:w="108" w:type="dxa"/>
            <w:bottom w:w="0" w:type="dxa"/>
            <w:right w:w="108" w:type="dxa"/>
          </w:tblCellMar>
        </w:tblPrEx>
        <w:trPr>
          <w:trHeight w:val="1193" w:hRule="atLeast"/>
        </w:trPr>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C210E">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w:t>
            </w:r>
          </w:p>
        </w:tc>
        <w:tc>
          <w:tcPr>
            <w:tcW w:w="7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F62A6">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角色管理</w:t>
            </w:r>
          </w:p>
        </w:tc>
        <w:tc>
          <w:tcPr>
            <w:tcW w:w="25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16450">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用于管理系统中的用户角色。一个角色要设置其在系统内可使用的功能权限和数据权限，一个用户可以有多个角色，多个角色出现重叠时，以最高权限判定当前用户的权限。</w:t>
            </w:r>
          </w:p>
        </w:tc>
        <w:tc>
          <w:tcPr>
            <w:tcW w:w="13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A3900">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设计必要的角色，为角色设定必要的功能权限和数据权限。</w:t>
            </w:r>
          </w:p>
        </w:tc>
      </w:tr>
    </w:tbl>
    <w:p w14:paraId="0F046685">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baseline"/>
        <w:rPr>
          <w:rFonts w:hint="eastAsia"/>
          <w:b/>
          <w:bCs/>
          <w:u w:val="single"/>
        </w:rPr>
      </w:pPr>
    </w:p>
    <w:p w14:paraId="3B1BC7A6">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baseline"/>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业务及项目管理功能</w:t>
      </w:r>
    </w:p>
    <w:p w14:paraId="2B6AF42A">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业务管理平台需要具备业务及项目管理的能力，具备项目全流程管理、协同功能。</w:t>
      </w:r>
    </w:p>
    <w:p w14:paraId="5685DC55">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业务管理及项目管理是业务管理平台的管理中心点，围绕业务承揽</w:t>
      </w:r>
      <w:r>
        <w:rPr>
          <w:rFonts w:hint="eastAsia" w:ascii="仿宋_GB2312" w:hAnsi="仿宋_GB2312" w:eastAsia="仿宋_GB2312" w:cs="仿宋_GB2312"/>
          <w:color w:val="auto"/>
          <w:sz w:val="32"/>
          <w:szCs w:val="32"/>
        </w:rPr>
        <w:t>及其实施</w:t>
      </w:r>
      <w:r>
        <w:rPr>
          <w:rFonts w:hint="eastAsia" w:ascii="仿宋_GB2312" w:hAnsi="仿宋_GB2312" w:eastAsia="仿宋_GB2312" w:cs="仿宋_GB2312"/>
          <w:sz w:val="32"/>
          <w:szCs w:val="32"/>
        </w:rPr>
        <w:t>功能是实现管理数字化转型的基础。</w:t>
      </w:r>
    </w:p>
    <w:tbl>
      <w:tblPr>
        <w:tblStyle w:val="18"/>
        <w:tblW w:w="5000" w:type="pct"/>
        <w:tblInd w:w="0" w:type="dxa"/>
        <w:tblLayout w:type="fixed"/>
        <w:tblCellMar>
          <w:top w:w="0" w:type="dxa"/>
          <w:left w:w="108" w:type="dxa"/>
          <w:bottom w:w="0" w:type="dxa"/>
          <w:right w:w="108" w:type="dxa"/>
        </w:tblCellMar>
      </w:tblPr>
      <w:tblGrid>
        <w:gridCol w:w="619"/>
        <w:gridCol w:w="1344"/>
        <w:gridCol w:w="4625"/>
        <w:gridCol w:w="1934"/>
      </w:tblGrid>
      <w:tr w14:paraId="728ADFDC">
        <w:tblPrEx>
          <w:tblCellMar>
            <w:top w:w="0" w:type="dxa"/>
            <w:left w:w="108" w:type="dxa"/>
            <w:bottom w:w="0" w:type="dxa"/>
            <w:right w:w="108" w:type="dxa"/>
          </w:tblCellMar>
        </w:tblPrEx>
        <w:trPr>
          <w:trHeight w:val="501"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E806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序号</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23EED">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功能名称</w:t>
            </w:r>
          </w:p>
        </w:tc>
        <w:tc>
          <w:tcPr>
            <w:tcW w:w="4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B254">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功能描述</w:t>
            </w:r>
          </w:p>
        </w:tc>
        <w:tc>
          <w:tcPr>
            <w:tcW w:w="1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F5BB3">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目标</w:t>
            </w:r>
          </w:p>
        </w:tc>
      </w:tr>
      <w:tr w14:paraId="43D250A1">
        <w:tblPrEx>
          <w:tblCellMar>
            <w:top w:w="0" w:type="dxa"/>
            <w:left w:w="108" w:type="dxa"/>
            <w:bottom w:w="0" w:type="dxa"/>
            <w:right w:w="108" w:type="dxa"/>
          </w:tblCellMar>
        </w:tblPrEx>
        <w:trPr>
          <w:trHeight w:val="368"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93D4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E9DC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业务合同管理</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3C330">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用于管理企业的业务合同信息。</w:t>
            </w:r>
          </w:p>
          <w:p w14:paraId="5A9F0145">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系统应提供业务合同的审批、盖章、归档、变更/修订、废止、借用等合同的全生命周期管理。业务合同信息应与项目、客户、发票信息关联，实现了业务、财务、档案管理的协同管理。</w:t>
            </w:r>
          </w:p>
        </w:tc>
        <w:tc>
          <w:tcPr>
            <w:tcW w:w="1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B8104">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为业绩检索、项目管理、财务开票、收款管理提供数据支持。</w:t>
            </w:r>
          </w:p>
        </w:tc>
      </w:tr>
      <w:tr w14:paraId="16245996">
        <w:tblPrEx>
          <w:tblCellMar>
            <w:top w:w="0" w:type="dxa"/>
            <w:left w:w="108" w:type="dxa"/>
            <w:bottom w:w="0" w:type="dxa"/>
            <w:right w:w="108" w:type="dxa"/>
          </w:tblCellMar>
        </w:tblPrEx>
        <w:trPr>
          <w:trHeight w:val="12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F6C67">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14F0A">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工程造价项目管理</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78572">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用于管理企业的工程造价项目全生命周期。</w:t>
            </w:r>
          </w:p>
          <w:p w14:paraId="6B9A4973">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系统应提供工程造价项目所需的相关功能，如：立项管理、项目负责人派遣、项目计划制定、项目组成员管理、项目合同管理、工程造价报告管理、项目开票及收款管理、项目费用管理、项目评价、项目归档管理、项目分配管理、结算管理、结项管理等项目全流程管理。</w:t>
            </w:r>
          </w:p>
        </w:tc>
        <w:tc>
          <w:tcPr>
            <w:tcW w:w="1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56D82">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项目各节点、功能支持，项目信息、资料汇总，为业绩检索、财务开票、收款管理、人员绩效、项目支出等提供数据支持。</w:t>
            </w:r>
          </w:p>
        </w:tc>
      </w:tr>
      <w:tr w14:paraId="3018293F">
        <w:tblPrEx>
          <w:tblCellMar>
            <w:top w:w="0" w:type="dxa"/>
            <w:left w:w="108" w:type="dxa"/>
            <w:bottom w:w="0" w:type="dxa"/>
            <w:right w:w="108" w:type="dxa"/>
          </w:tblCellMar>
        </w:tblPrEx>
        <w:trPr>
          <w:trHeight w:val="6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94D8E">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98C6A">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工程造价报告管理</w:t>
            </w:r>
          </w:p>
        </w:tc>
        <w:tc>
          <w:tcPr>
            <w:tcW w:w="4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CD4D3">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用于管理企业的工程造价报告全生命周期。</w:t>
            </w:r>
          </w:p>
          <w:p w14:paraId="2B80A9D3">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系统应提供包括沟通资料、报告编制计划、答疑沟通、对账、自评自查、三级审核、数据上报、档案归档、答疑销号、报告收款等全流程管理。</w:t>
            </w:r>
          </w:p>
        </w:tc>
        <w:tc>
          <w:tcPr>
            <w:tcW w:w="1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0D5A1">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汇总造价报告相关数据，为档案管理、数据上报、人员绩效提供数据支持。</w:t>
            </w:r>
          </w:p>
        </w:tc>
      </w:tr>
      <w:tr w14:paraId="560B89EF">
        <w:tblPrEx>
          <w:tblCellMar>
            <w:top w:w="0" w:type="dxa"/>
            <w:left w:w="108" w:type="dxa"/>
            <w:bottom w:w="0" w:type="dxa"/>
            <w:right w:w="108" w:type="dxa"/>
          </w:tblCellMar>
        </w:tblPrEx>
        <w:trPr>
          <w:trHeight w:val="15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EFDCB">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20DA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kern w:val="0"/>
                <w:sz w:val="24"/>
                <w:szCs w:val="24"/>
              </w:rPr>
              <w:t>全过程工程咨询项目管理</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CAFA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用于管理企业的全过程工程咨询项目全生命周期</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旨在实现以投资控制为核心，通过融合现行投资决策咨询、工程设计、工程造价、工程监理、招标代理等咨询业务，构建起一体化的新型工程咨询业态，</w:t>
            </w:r>
            <w:r>
              <w:rPr>
                <w:rFonts w:hint="eastAsia" w:ascii="仿宋_GB2312" w:hAnsi="仿宋_GB2312" w:eastAsia="仿宋_GB2312" w:cs="仿宋_GB2312"/>
                <w:color w:val="auto"/>
                <w:kern w:val="0"/>
                <w:sz w:val="24"/>
                <w:szCs w:val="24"/>
              </w:rPr>
              <w:t>提供全过程工程咨询项目所需的</w:t>
            </w:r>
            <w:r>
              <w:rPr>
                <w:rFonts w:hint="eastAsia" w:ascii="仿宋_GB2312" w:hAnsi="仿宋_GB2312" w:eastAsia="仿宋_GB2312" w:cs="仿宋_GB2312"/>
                <w:color w:val="auto"/>
                <w:kern w:val="0"/>
                <w:sz w:val="24"/>
                <w:szCs w:val="24"/>
                <w:lang w:val="en-US" w:eastAsia="zh-CN"/>
              </w:rPr>
              <w:t>基本</w:t>
            </w:r>
            <w:r>
              <w:rPr>
                <w:rFonts w:hint="eastAsia" w:ascii="仿宋_GB2312" w:hAnsi="仿宋_GB2312" w:eastAsia="仿宋_GB2312" w:cs="仿宋_GB2312"/>
                <w:color w:val="auto"/>
                <w:kern w:val="0"/>
                <w:sz w:val="24"/>
                <w:szCs w:val="24"/>
              </w:rPr>
              <w:t>功能，如：立项</w:t>
            </w:r>
            <w:r>
              <w:rPr>
                <w:rFonts w:hint="eastAsia" w:ascii="仿宋_GB2312" w:hAnsi="仿宋_GB2312" w:eastAsia="仿宋_GB2312" w:cs="仿宋_GB2312"/>
                <w:color w:val="auto"/>
                <w:kern w:val="0"/>
                <w:sz w:val="24"/>
                <w:szCs w:val="24"/>
                <w:lang w:val="en-US" w:eastAsia="zh-CN"/>
              </w:rPr>
              <w:t>与投资初步估算</w:t>
            </w:r>
            <w:r>
              <w:rPr>
                <w:rFonts w:hint="eastAsia" w:ascii="仿宋_GB2312" w:hAnsi="仿宋_GB2312" w:eastAsia="仿宋_GB2312" w:cs="仿宋_GB2312"/>
                <w:color w:val="auto"/>
                <w:kern w:val="0"/>
                <w:sz w:val="24"/>
                <w:szCs w:val="24"/>
              </w:rPr>
              <w:t>管理、</w:t>
            </w:r>
            <w:r>
              <w:rPr>
                <w:rFonts w:hint="eastAsia" w:ascii="仿宋_GB2312" w:hAnsi="仿宋_GB2312" w:eastAsia="仿宋_GB2312" w:cs="仿宋_GB2312"/>
                <w:color w:val="auto"/>
                <w:kern w:val="0"/>
                <w:sz w:val="24"/>
                <w:szCs w:val="24"/>
                <w:lang w:val="en-US" w:eastAsia="zh-CN"/>
              </w:rPr>
              <w:t>可行性研究与投资估算管理、初步设计与设计概算管理；</w:t>
            </w: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val="en-US" w:eastAsia="zh-CN"/>
              </w:rPr>
              <w:t>咨询</w:t>
            </w:r>
            <w:r>
              <w:rPr>
                <w:rFonts w:hint="eastAsia" w:ascii="仿宋_GB2312" w:hAnsi="仿宋_GB2312" w:eastAsia="仿宋_GB2312" w:cs="仿宋_GB2312"/>
                <w:color w:val="auto"/>
                <w:kern w:val="0"/>
                <w:sz w:val="24"/>
                <w:szCs w:val="24"/>
              </w:rPr>
              <w:t>负责人及咨询团队组成、派遣与日常管理</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val="en-US" w:eastAsia="zh-CN"/>
              </w:rPr>
              <w:t>实施</w:t>
            </w:r>
            <w:r>
              <w:rPr>
                <w:rFonts w:hint="eastAsia" w:ascii="仿宋_GB2312" w:hAnsi="仿宋_GB2312" w:eastAsia="仿宋_GB2312" w:cs="仿宋_GB2312"/>
                <w:color w:val="auto"/>
                <w:kern w:val="0"/>
                <w:sz w:val="24"/>
                <w:szCs w:val="24"/>
              </w:rPr>
              <w:t>计划制定</w:t>
            </w:r>
            <w:r>
              <w:rPr>
                <w:rFonts w:hint="eastAsia" w:ascii="仿宋_GB2312" w:hAnsi="仿宋_GB2312" w:eastAsia="仿宋_GB2312" w:cs="仿宋_GB2312"/>
                <w:color w:val="auto"/>
                <w:kern w:val="0"/>
                <w:sz w:val="24"/>
                <w:szCs w:val="24"/>
                <w:lang w:val="en-US" w:eastAsia="zh-CN"/>
              </w:rPr>
              <w:t>与管理</w:t>
            </w:r>
            <w:r>
              <w:rPr>
                <w:rFonts w:hint="eastAsia" w:ascii="仿宋_GB2312" w:hAnsi="仿宋_GB2312" w:eastAsia="仿宋_GB2312" w:cs="仿宋_GB2312"/>
                <w:color w:val="auto"/>
                <w:kern w:val="0"/>
                <w:sz w:val="24"/>
                <w:szCs w:val="24"/>
              </w:rPr>
              <w:t>、项目资料管理、项目合同管理、工程造价报告</w:t>
            </w:r>
            <w:r>
              <w:rPr>
                <w:rFonts w:hint="eastAsia" w:ascii="仿宋_GB2312" w:hAnsi="仿宋_GB2312" w:eastAsia="仿宋_GB2312" w:cs="仿宋_GB2312"/>
                <w:color w:val="auto"/>
                <w:kern w:val="0"/>
                <w:sz w:val="24"/>
                <w:szCs w:val="24"/>
                <w:lang w:val="en-US" w:eastAsia="zh-CN"/>
              </w:rPr>
              <w:t>及其他服务成果</w:t>
            </w:r>
            <w:r>
              <w:rPr>
                <w:rFonts w:hint="eastAsia" w:ascii="仿宋_GB2312" w:hAnsi="仿宋_GB2312" w:eastAsia="仿宋_GB2312" w:cs="仿宋_GB2312"/>
                <w:color w:val="auto"/>
                <w:kern w:val="0"/>
                <w:sz w:val="24"/>
                <w:szCs w:val="24"/>
              </w:rPr>
              <w:t>管理、项目开票及收款管理、项目费用管理、项目评价、项目归档管理、项目分配管理、结算管理、结项管理等项目全流程管理。</w:t>
            </w:r>
          </w:p>
        </w:tc>
        <w:tc>
          <w:tcPr>
            <w:tcW w:w="1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8A10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按全过程工程咨询的项目，汇总全过程项目中的各类信息。同时提供以造价控制为核心的管理目标。</w:t>
            </w:r>
          </w:p>
        </w:tc>
      </w:tr>
      <w:tr w14:paraId="7DB58FAB">
        <w:tblPrEx>
          <w:tblCellMar>
            <w:top w:w="0" w:type="dxa"/>
            <w:left w:w="108" w:type="dxa"/>
            <w:bottom w:w="0" w:type="dxa"/>
            <w:right w:w="108" w:type="dxa"/>
          </w:tblCellMar>
        </w:tblPrEx>
        <w:trPr>
          <w:trHeight w:val="1195"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6908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25076">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业务档案管理</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07724">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配合项目管理使用，用于企业管理业务相关的档案信息，提供各类档案的归档、查询、催缴、统计分析等相关功能。</w:t>
            </w:r>
          </w:p>
        </w:tc>
        <w:tc>
          <w:tcPr>
            <w:tcW w:w="1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27884">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为业绩管理、人效管理、归档情况统计分析提供数据支持。</w:t>
            </w:r>
          </w:p>
        </w:tc>
      </w:tr>
      <w:tr w14:paraId="34694514">
        <w:tblPrEx>
          <w:tblCellMar>
            <w:top w:w="0" w:type="dxa"/>
            <w:left w:w="108" w:type="dxa"/>
            <w:bottom w:w="0" w:type="dxa"/>
            <w:right w:w="108" w:type="dxa"/>
          </w:tblCellMar>
        </w:tblPrEx>
        <w:trPr>
          <w:trHeight w:val="1195"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536F0">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BC074">
            <w:pPr>
              <w:widowControl/>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项目进度管理</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2917F">
            <w:pPr>
              <w:widowControl/>
              <w:jc w:val="left"/>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系统应提供</w:t>
            </w:r>
            <w:r>
              <w:rPr>
                <w:rFonts w:hint="eastAsia" w:ascii="仿宋_GB2312" w:hAnsi="仿宋_GB2312" w:eastAsia="仿宋_GB2312" w:cs="仿宋_GB2312"/>
                <w:color w:val="auto"/>
                <w:kern w:val="0"/>
                <w:sz w:val="24"/>
                <w:szCs w:val="24"/>
                <w:lang w:val="en-US" w:eastAsia="zh-CN"/>
              </w:rPr>
              <w:t>项目级的跟踪管理，方便管理者及时了解企业各项目、合同的推进执行情况。</w:t>
            </w:r>
          </w:p>
        </w:tc>
        <w:tc>
          <w:tcPr>
            <w:tcW w:w="1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5A725">
            <w:pPr>
              <w:widowControl/>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为企业总体安排资源提供数据支撑。</w:t>
            </w:r>
          </w:p>
        </w:tc>
      </w:tr>
      <w:tr w14:paraId="757E08CC">
        <w:tblPrEx>
          <w:tblCellMar>
            <w:top w:w="0" w:type="dxa"/>
            <w:left w:w="108" w:type="dxa"/>
            <w:bottom w:w="0" w:type="dxa"/>
            <w:right w:w="108" w:type="dxa"/>
          </w:tblCellMar>
        </w:tblPrEx>
        <w:trPr>
          <w:trHeight w:val="1259"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36108">
            <w:pPr>
              <w:widowControl/>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8DF3A">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任务跟踪管理和工时管理</w:t>
            </w:r>
          </w:p>
        </w:tc>
        <w:tc>
          <w:tcPr>
            <w:tcW w:w="4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9B33C">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系统应提供</w:t>
            </w:r>
            <w:r>
              <w:rPr>
                <w:rFonts w:hint="eastAsia" w:ascii="仿宋_GB2312" w:hAnsi="仿宋_GB2312" w:eastAsia="仿宋_GB2312" w:cs="仿宋_GB2312"/>
                <w:color w:val="000000"/>
                <w:kern w:val="0"/>
                <w:sz w:val="24"/>
                <w:szCs w:val="24"/>
                <w:lang w:val="en-US" w:eastAsia="zh-CN"/>
              </w:rPr>
              <w:t>任务级的</w:t>
            </w:r>
            <w:r>
              <w:rPr>
                <w:rFonts w:hint="eastAsia" w:ascii="仿宋_GB2312" w:hAnsi="仿宋_GB2312" w:eastAsia="仿宋_GB2312" w:cs="仿宋_GB2312"/>
                <w:color w:val="000000"/>
                <w:kern w:val="0"/>
                <w:sz w:val="24"/>
                <w:szCs w:val="24"/>
              </w:rPr>
              <w:t>跟踪管理和工时管理功能，用户可以按照参与项目、负责的任务上报工时，工时可以根据设置的审批流审批，审批通过后，工时计入用户的工时账户。系统负责自动统计工时，生成工时统计表，降低企业的工时管理成本。</w:t>
            </w:r>
          </w:p>
        </w:tc>
        <w:tc>
          <w:tcPr>
            <w:tcW w:w="19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FF50F">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auto"/>
                <w:kern w:val="0"/>
                <w:sz w:val="24"/>
                <w:szCs w:val="24"/>
              </w:rPr>
              <w:t>为精益管理、人效管理提供数据支撑。</w:t>
            </w:r>
          </w:p>
        </w:tc>
      </w:tr>
    </w:tbl>
    <w:p w14:paraId="120EE195">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baseline"/>
        <w:rPr>
          <w:rFonts w:hint="eastAsia" w:ascii="仿宋_GB2312" w:hAnsi="仿宋_GB2312" w:eastAsia="仿宋_GB2312" w:cs="仿宋_GB2312"/>
          <w:b/>
          <w:bCs/>
          <w:sz w:val="32"/>
          <w:szCs w:val="32"/>
          <w:u w:val="single"/>
        </w:rPr>
      </w:pPr>
    </w:p>
    <w:p w14:paraId="7414FEA8">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baseline"/>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客户及市场管理功能</w:t>
      </w:r>
    </w:p>
    <w:p w14:paraId="548922D3">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pPr>
      <w:r>
        <w:rPr>
          <w:rFonts w:hint="eastAsia" w:ascii="仿宋_GB2312" w:hAnsi="仿宋_GB2312" w:eastAsia="仿宋_GB2312" w:cs="仿宋_GB2312"/>
          <w:sz w:val="32"/>
          <w:szCs w:val="32"/>
        </w:rPr>
        <w:t>业务</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平台需要具备客户及市场管理的能力，包含客户档案静态管理、市场活动动态管理、业绩及投标资料检索等。客户及市场管理功能既是业务管理的起点，也是企业市场活动信息管理的中心点。</w:t>
      </w:r>
    </w:p>
    <w:tbl>
      <w:tblPr>
        <w:tblStyle w:val="18"/>
        <w:tblW w:w="5000" w:type="pct"/>
        <w:tblInd w:w="0" w:type="dxa"/>
        <w:tblLayout w:type="fixed"/>
        <w:tblCellMar>
          <w:top w:w="0" w:type="dxa"/>
          <w:left w:w="108" w:type="dxa"/>
          <w:bottom w:w="0" w:type="dxa"/>
          <w:right w:w="108" w:type="dxa"/>
        </w:tblCellMar>
      </w:tblPr>
      <w:tblGrid>
        <w:gridCol w:w="619"/>
        <w:gridCol w:w="1121"/>
        <w:gridCol w:w="4820"/>
        <w:gridCol w:w="1962"/>
      </w:tblGrid>
      <w:tr w14:paraId="6FA8A967">
        <w:tblPrEx>
          <w:tblCellMar>
            <w:top w:w="0" w:type="dxa"/>
            <w:left w:w="108" w:type="dxa"/>
            <w:bottom w:w="0" w:type="dxa"/>
            <w:right w:w="108" w:type="dxa"/>
          </w:tblCellMar>
        </w:tblPrEx>
        <w:trPr>
          <w:trHeight w:val="577"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BD0F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序号</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F73DB">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功能名称</w:t>
            </w:r>
          </w:p>
        </w:tc>
        <w:tc>
          <w:tcPr>
            <w:tcW w:w="4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BE27F">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功能描述</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BF18E">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目标</w:t>
            </w:r>
          </w:p>
        </w:tc>
      </w:tr>
      <w:tr w14:paraId="5794070E">
        <w:tblPrEx>
          <w:tblCellMar>
            <w:top w:w="0" w:type="dxa"/>
            <w:left w:w="108" w:type="dxa"/>
            <w:bottom w:w="0" w:type="dxa"/>
            <w:right w:w="108" w:type="dxa"/>
          </w:tblCellMar>
        </w:tblPrEx>
        <w:trPr>
          <w:trHeight w:val="12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418A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7FF16">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客户档案管理</w:t>
            </w:r>
          </w:p>
        </w:tc>
        <w:tc>
          <w:tcPr>
            <w:tcW w:w="4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9AF01">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用于管理企业的客户档案信息。</w:t>
            </w:r>
          </w:p>
          <w:p w14:paraId="556E2DAC">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客户需要分类管理，系统应提供自动归集业务信息到客户档案的功能，如客户档案中可以直接关联业务合同、项目信息、开票信息、拜访信息、投标信息等等。</w:t>
            </w:r>
          </w:p>
          <w:p w14:paraId="6FEFDEE4">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根据企业实际需要，可以考虑提供对接天眼查的能力，在创建客户和更新客户信息时直接从天眼查匹配，确保企业客户信息的准确性。</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AD441">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为项目管理、业务开展、合同管理、发票管理、收款管理提供数据支持。</w:t>
            </w:r>
          </w:p>
        </w:tc>
      </w:tr>
      <w:tr w14:paraId="71C5C2DB">
        <w:tblPrEx>
          <w:tblCellMar>
            <w:top w:w="0" w:type="dxa"/>
            <w:left w:w="108" w:type="dxa"/>
            <w:bottom w:w="0" w:type="dxa"/>
            <w:right w:w="108" w:type="dxa"/>
          </w:tblCellMar>
        </w:tblPrEx>
        <w:trPr>
          <w:trHeight w:val="304"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35D5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ABBA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业务报价管理</w:t>
            </w:r>
          </w:p>
        </w:tc>
        <w:tc>
          <w:tcPr>
            <w:tcW w:w="4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A986B">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w:t>
            </w:r>
            <w:r>
              <w:rPr>
                <w:rFonts w:hint="eastAsia" w:ascii="仿宋_GB2312" w:hAnsi="仿宋_GB2312" w:eastAsia="仿宋_GB2312" w:cs="仿宋_GB2312"/>
                <w:color w:val="000000"/>
                <w:kern w:val="0"/>
                <w:sz w:val="24"/>
                <w:szCs w:val="24"/>
                <w:lang w:eastAsia="zh-CN"/>
              </w:rPr>
              <w:t>企业</w:t>
            </w:r>
            <w:r>
              <w:rPr>
                <w:rFonts w:hint="eastAsia" w:ascii="仿宋_GB2312" w:hAnsi="仿宋_GB2312" w:eastAsia="仿宋_GB2312" w:cs="仿宋_GB2312"/>
                <w:color w:val="000000"/>
                <w:kern w:val="0"/>
                <w:sz w:val="24"/>
                <w:szCs w:val="24"/>
              </w:rPr>
              <w:t>的业务报价活动信息。</w:t>
            </w:r>
          </w:p>
          <w:p w14:paraId="7F26C162">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系统应提供标准化的报价单</w:t>
            </w:r>
            <w:r>
              <w:rPr>
                <w:rFonts w:hint="eastAsia" w:ascii="仿宋_GB2312" w:hAnsi="仿宋_GB2312" w:eastAsia="仿宋_GB2312" w:cs="仿宋_GB2312"/>
                <w:color w:val="000000"/>
                <w:kern w:val="0"/>
                <w:sz w:val="24"/>
                <w:szCs w:val="24"/>
                <w:lang w:eastAsia="zh-CN"/>
              </w:rPr>
              <w:t>模板</w:t>
            </w:r>
            <w:r>
              <w:rPr>
                <w:rFonts w:hint="eastAsia" w:ascii="仿宋_GB2312" w:hAnsi="仿宋_GB2312" w:eastAsia="仿宋_GB2312" w:cs="仿宋_GB2312"/>
                <w:color w:val="000000"/>
                <w:kern w:val="0"/>
                <w:sz w:val="24"/>
                <w:szCs w:val="24"/>
              </w:rPr>
              <w:t>，记录历史报价信息，按照权限分级分层次管理报价数据。</w:t>
            </w:r>
          </w:p>
        </w:tc>
        <w:tc>
          <w:tcPr>
            <w:tcW w:w="19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C2046">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为合同管理、项目管理、业绩管理提供数据支持。</w:t>
            </w:r>
          </w:p>
        </w:tc>
      </w:tr>
      <w:tr w14:paraId="0E2F4116">
        <w:tblPrEx>
          <w:tblCellMar>
            <w:top w:w="0" w:type="dxa"/>
            <w:left w:w="108" w:type="dxa"/>
            <w:bottom w:w="0" w:type="dxa"/>
            <w:right w:w="108" w:type="dxa"/>
          </w:tblCellMar>
        </w:tblPrEx>
        <w:trPr>
          <w:trHeight w:val="304"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12394">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95D4B">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入围备案管理</w:t>
            </w:r>
          </w:p>
        </w:tc>
        <w:tc>
          <w:tcPr>
            <w:tcW w:w="4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07B09">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用于管理企业中的已入围备案信息。</w:t>
            </w:r>
          </w:p>
          <w:p w14:paraId="56BC180D">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系统应提供入围备案信息的登记、更新、到期提醒、中标关联登记功能。</w:t>
            </w:r>
          </w:p>
        </w:tc>
        <w:tc>
          <w:tcPr>
            <w:tcW w:w="19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B616D">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为报价管理提供数据支持。</w:t>
            </w:r>
          </w:p>
        </w:tc>
      </w:tr>
      <w:tr w14:paraId="209DC65D">
        <w:tblPrEx>
          <w:tblCellMar>
            <w:top w:w="0" w:type="dxa"/>
            <w:left w:w="108" w:type="dxa"/>
            <w:bottom w:w="0" w:type="dxa"/>
            <w:right w:w="108" w:type="dxa"/>
          </w:tblCellMar>
        </w:tblPrEx>
        <w:trPr>
          <w:trHeight w:val="416"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3559">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3418E">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投标管理</w:t>
            </w:r>
          </w:p>
        </w:tc>
        <w:tc>
          <w:tcPr>
            <w:tcW w:w="4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69CDB">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用于管理企业中的投标活动。</w:t>
            </w:r>
          </w:p>
          <w:p w14:paraId="7F705C20">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系统应为投标管理提供从投标立项、借款管理、资料借用、标书编制、开标信息录入多个环节的管理功能，为财务、行政、人事、业务单元的在线协同管理。</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B9C78">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为投标资料使用、投标信息汇聚、投标结果填报提供信息汇聚的节点。为投标结果分析提供数据支撑。</w:t>
            </w:r>
          </w:p>
        </w:tc>
      </w:tr>
      <w:tr w14:paraId="2779D81E">
        <w:tblPrEx>
          <w:tblCellMar>
            <w:top w:w="0" w:type="dxa"/>
            <w:left w:w="108" w:type="dxa"/>
            <w:bottom w:w="0" w:type="dxa"/>
            <w:right w:w="108" w:type="dxa"/>
          </w:tblCellMar>
        </w:tblPrEx>
        <w:trPr>
          <w:trHeight w:val="9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DE077">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A419">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投标资料库</w:t>
            </w:r>
          </w:p>
        </w:tc>
        <w:tc>
          <w:tcPr>
            <w:tcW w:w="4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265F4">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用于管理企业中与投标相关的资料信息。</w:t>
            </w:r>
          </w:p>
          <w:p w14:paraId="095A8DE6">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投标资料库中的数据包括：企业资料（简介、获奖情况、财务报告等）、企业资质、企业业绩、人员资质、技术标准资料等。</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ED22E">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为投标所需的数据提供管理功能，区别于其他业绩查询功能，进行单独的权限管理和数据使用管理。</w:t>
            </w:r>
          </w:p>
        </w:tc>
      </w:tr>
      <w:tr w14:paraId="19BE6189">
        <w:tblPrEx>
          <w:tblCellMar>
            <w:top w:w="0" w:type="dxa"/>
            <w:left w:w="108" w:type="dxa"/>
            <w:bottom w:w="0" w:type="dxa"/>
            <w:right w:w="108" w:type="dxa"/>
          </w:tblCellMar>
        </w:tblPrEx>
        <w:trPr>
          <w:trHeight w:val="9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2CAE2">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A5857">
            <w:pPr>
              <w:widowControl/>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业务机会管理</w:t>
            </w:r>
          </w:p>
        </w:tc>
        <w:tc>
          <w:tcPr>
            <w:tcW w:w="4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EC2D7">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用于捕捉、跟踪企业潜在的业务合作契机。系统应具备业务机会的录入功能，可详细记录潜在客户需求、预计项目规模、预计成交时间等信息；支持对业务机会进行分类和优先级排序，方便业务人员聚焦重点；提供业务机会跟进记录功能，记录与潜在客户的沟通情况、拜访记录等；还可设置提醒功能，对关键时间节点、重要跟进任务进行提醒。同时，可根据业务机会相关数据生成分析报表，辅助管理层决策。</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43A0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为企业挖掘更多业务增长点提供数据支撑，提高业务成交转化率，合理分配销售资源，提升</w:t>
            </w:r>
            <w:r>
              <w:rPr>
                <w:rFonts w:hint="eastAsia" w:ascii="仿宋_GB2312" w:hAnsi="仿宋_GB2312" w:eastAsia="仿宋_GB2312" w:cs="仿宋_GB2312"/>
                <w:color w:val="auto"/>
                <w:sz w:val="24"/>
                <w:szCs w:val="24"/>
                <w:lang w:val="en-US" w:eastAsia="zh-CN"/>
              </w:rPr>
              <w:t>市场开发</w:t>
            </w:r>
            <w:r>
              <w:rPr>
                <w:rFonts w:hint="eastAsia" w:ascii="仿宋_GB2312" w:hAnsi="仿宋_GB2312" w:eastAsia="仿宋_GB2312" w:cs="仿宋_GB2312"/>
                <w:color w:val="auto"/>
                <w:sz w:val="24"/>
                <w:szCs w:val="24"/>
              </w:rPr>
              <w:t>团队工作效率。</w:t>
            </w:r>
          </w:p>
        </w:tc>
      </w:tr>
    </w:tbl>
    <w:p w14:paraId="39B78E4F">
      <w:pPr>
        <w:pStyle w:val="4"/>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baseline"/>
        <w:rPr>
          <w:rFonts w:hint="eastAsia" w:ascii="仿宋_GB2312" w:hAnsi="仿宋_GB2312" w:eastAsia="仿宋_GB2312" w:cs="仿宋_GB2312"/>
          <w:b/>
          <w:bCs/>
          <w:sz w:val="32"/>
          <w:szCs w:val="32"/>
          <w:u w:val="single"/>
        </w:rPr>
      </w:pPr>
    </w:p>
    <w:p w14:paraId="767CDFDF">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u w:val="single"/>
        </w:rPr>
        <w:t>财务管理功能</w:t>
      </w:r>
    </w:p>
    <w:p w14:paraId="518AF2FD">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pPr>
      <w:r>
        <w:rPr>
          <w:rFonts w:hint="eastAsia" w:ascii="仿宋_GB2312" w:hAnsi="仿宋_GB2312" w:eastAsia="仿宋_GB2312" w:cs="仿宋_GB2312"/>
          <w:sz w:val="32"/>
          <w:szCs w:val="32"/>
        </w:rPr>
        <w:t>业务管理平台需要提供财务管理的能力，将财务管理和业务管理相结合，实现业财一体化管理。</w:t>
      </w:r>
    </w:p>
    <w:tbl>
      <w:tblPr>
        <w:tblStyle w:val="18"/>
        <w:tblW w:w="5000" w:type="pct"/>
        <w:tblInd w:w="0" w:type="dxa"/>
        <w:tblLayout w:type="fixed"/>
        <w:tblCellMar>
          <w:top w:w="0" w:type="dxa"/>
          <w:left w:w="108" w:type="dxa"/>
          <w:bottom w:w="0" w:type="dxa"/>
          <w:right w:w="108" w:type="dxa"/>
        </w:tblCellMar>
      </w:tblPr>
      <w:tblGrid>
        <w:gridCol w:w="620"/>
        <w:gridCol w:w="1152"/>
        <w:gridCol w:w="4822"/>
        <w:gridCol w:w="1928"/>
      </w:tblGrid>
      <w:tr w14:paraId="0C9D26C6">
        <w:tblPrEx>
          <w:tblCellMar>
            <w:top w:w="0" w:type="dxa"/>
            <w:left w:w="108" w:type="dxa"/>
            <w:bottom w:w="0" w:type="dxa"/>
            <w:right w:w="108" w:type="dxa"/>
          </w:tblCellMar>
        </w:tblPrEx>
        <w:trPr>
          <w:trHeight w:val="578"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82CF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序号</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85A3F">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功能名称</w:t>
            </w:r>
          </w:p>
        </w:tc>
        <w:tc>
          <w:tcPr>
            <w:tcW w:w="28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2DC4B">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功能描述</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6E650">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目标</w:t>
            </w:r>
          </w:p>
        </w:tc>
      </w:tr>
      <w:tr w14:paraId="679780AD">
        <w:tblPrEx>
          <w:tblCellMar>
            <w:top w:w="0" w:type="dxa"/>
            <w:left w:w="108" w:type="dxa"/>
            <w:bottom w:w="0" w:type="dxa"/>
            <w:right w:w="108" w:type="dxa"/>
          </w:tblCellMar>
        </w:tblPrEx>
        <w:trPr>
          <w:trHeight w:val="679"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5DE9B">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1D7DE">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开票申请及办理</w:t>
            </w:r>
          </w:p>
        </w:tc>
        <w:tc>
          <w:tcPr>
            <w:tcW w:w="28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7125D">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用于管理企业中的开票事项。</w:t>
            </w:r>
          </w:p>
          <w:p w14:paraId="45323E63">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系统应提供发票开具申请、开票办理、发票管理相关功能。发票信息与项目、合同信息相关联，实现财务和业务的协同管理。</w:t>
            </w:r>
          </w:p>
          <w:p w14:paraId="581FAFBC">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企业根据实际情况，在系统中管理设置OCR自动识别功能，协助快速录入发票信息。</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1FAB6">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为应收管理、客户收入、项目收入等提供数据支撑。</w:t>
            </w:r>
          </w:p>
          <w:p w14:paraId="153F6DF9">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动态统计开票情况。</w:t>
            </w:r>
          </w:p>
        </w:tc>
      </w:tr>
      <w:tr w14:paraId="22B8E13E">
        <w:tblPrEx>
          <w:tblCellMar>
            <w:top w:w="0" w:type="dxa"/>
            <w:left w:w="108" w:type="dxa"/>
            <w:bottom w:w="0" w:type="dxa"/>
            <w:right w:w="108" w:type="dxa"/>
          </w:tblCellMar>
        </w:tblPrEx>
        <w:trPr>
          <w:trHeight w:val="9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8F15B">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DF093">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到账及回款管理</w:t>
            </w:r>
          </w:p>
        </w:tc>
        <w:tc>
          <w:tcPr>
            <w:tcW w:w="28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164D7">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用于管理企业的到账和回款信息。</w:t>
            </w:r>
          </w:p>
          <w:p w14:paraId="783B53C1">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系统应提供到账信息登记功能，到账信息可以关联到公司、部门、发票信息上，方便统计回款进度。其中，到账信息还为浮动工资分配、合作项目结算等功能提供数据支持。</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7DEA2">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为发票管理、回款管理、客户收入、项目收入等提供数据支撑。</w:t>
            </w:r>
          </w:p>
          <w:p w14:paraId="4146637F">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动态统计到账情况。</w:t>
            </w:r>
          </w:p>
        </w:tc>
      </w:tr>
      <w:tr w14:paraId="04FB72A3">
        <w:tblPrEx>
          <w:tblCellMar>
            <w:top w:w="0" w:type="dxa"/>
            <w:left w:w="108" w:type="dxa"/>
            <w:bottom w:w="0" w:type="dxa"/>
            <w:right w:w="108" w:type="dxa"/>
          </w:tblCellMar>
        </w:tblPrEx>
        <w:trPr>
          <w:trHeight w:val="1034"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35E59">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D52F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付款及报账管理</w:t>
            </w:r>
          </w:p>
        </w:tc>
        <w:tc>
          <w:tcPr>
            <w:tcW w:w="28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671F5">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用于管理企业的付款和报账管理。</w:t>
            </w:r>
          </w:p>
          <w:p w14:paraId="16A26737">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系统应提供付款申请管理、报账管理等功能，关联项目、投标数据。</w:t>
            </w:r>
          </w:p>
        </w:tc>
        <w:tc>
          <w:tcPr>
            <w:tcW w:w="11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5A1BC">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为项目结算、支出分析提供数据支持。</w:t>
            </w:r>
          </w:p>
          <w:p w14:paraId="36B5B68C">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动态分析支出情况。</w:t>
            </w:r>
          </w:p>
        </w:tc>
      </w:tr>
      <w:tr w14:paraId="1B1E15A1">
        <w:tblPrEx>
          <w:tblCellMar>
            <w:top w:w="0" w:type="dxa"/>
            <w:left w:w="108" w:type="dxa"/>
            <w:bottom w:w="0" w:type="dxa"/>
            <w:right w:w="108" w:type="dxa"/>
          </w:tblCellMar>
        </w:tblPrEx>
        <w:trPr>
          <w:trHeight w:val="239"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BBFB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3D59A">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借款管理</w:t>
            </w:r>
          </w:p>
        </w:tc>
        <w:tc>
          <w:tcPr>
            <w:tcW w:w="28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4D628">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用于管理企业中的借款信息。</w:t>
            </w:r>
          </w:p>
          <w:p w14:paraId="4BDDF185">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系统应提供借款申请、办理及核销相关功能。其中借款信息可以直接挂接到具体事项上，如项目借款、投标借款、采购借款等信息在借款申请单上都直接关联。</w:t>
            </w:r>
          </w:p>
        </w:tc>
        <w:tc>
          <w:tcPr>
            <w:tcW w:w="11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99596">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为项目借款、投标借款、采购借款。</w:t>
            </w:r>
          </w:p>
          <w:p w14:paraId="1256FA53">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动态提供借款情况分析。</w:t>
            </w:r>
          </w:p>
        </w:tc>
      </w:tr>
    </w:tbl>
    <w:p w14:paraId="129C5588">
      <w:pPr>
        <w:pStyle w:val="4"/>
        <w:ind w:firstLine="602"/>
        <w:rPr>
          <w:rFonts w:hint="eastAsia"/>
          <w:b/>
          <w:bCs/>
          <w:u w:val="single"/>
        </w:rPr>
      </w:pPr>
    </w:p>
    <w:p w14:paraId="4DC877E4">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u w:val="single"/>
        </w:rPr>
        <w:t>人力资源管理功能</w:t>
      </w:r>
    </w:p>
    <w:p w14:paraId="6CF3A058">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rPr>
          <w:rFonts w:hint="eastAsia"/>
        </w:rPr>
      </w:pPr>
      <w:r>
        <w:rPr>
          <w:rFonts w:hint="eastAsia" w:ascii="仿宋_GB2312" w:hAnsi="仿宋_GB2312" w:eastAsia="仿宋_GB2312" w:cs="仿宋_GB2312"/>
          <w:sz w:val="32"/>
          <w:szCs w:val="32"/>
        </w:rPr>
        <w:t>业务</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eastAsia="zh-CN"/>
        </w:rPr>
        <w:t>平台</w:t>
      </w:r>
      <w:r>
        <w:rPr>
          <w:rFonts w:hint="eastAsia" w:ascii="仿宋_GB2312" w:hAnsi="仿宋_GB2312" w:eastAsia="仿宋_GB2312" w:cs="仿宋_GB2312"/>
          <w:sz w:val="32"/>
          <w:szCs w:val="32"/>
        </w:rPr>
        <w:t>需要具备人力资源管理能力，包含员工档案静态管理、入职离职调岗及员工绩效等动态管理。人是造价咨询企业的核心生产要素，对人力资源管理的数字化转型，是造价咨询企业管理数字化转型的关键领域之一。</w:t>
      </w:r>
    </w:p>
    <w:tbl>
      <w:tblPr>
        <w:tblStyle w:val="18"/>
        <w:tblW w:w="5000" w:type="pct"/>
        <w:tblInd w:w="0" w:type="dxa"/>
        <w:tblLayout w:type="fixed"/>
        <w:tblCellMar>
          <w:top w:w="0" w:type="dxa"/>
          <w:left w:w="108" w:type="dxa"/>
          <w:bottom w:w="0" w:type="dxa"/>
          <w:right w:w="108" w:type="dxa"/>
        </w:tblCellMar>
      </w:tblPr>
      <w:tblGrid>
        <w:gridCol w:w="618"/>
        <w:gridCol w:w="1152"/>
        <w:gridCol w:w="4529"/>
        <w:gridCol w:w="2223"/>
      </w:tblGrid>
      <w:tr w14:paraId="4C696212">
        <w:trPr>
          <w:trHeight w:val="6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61EE1">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序号</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B9220">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功能名称</w:t>
            </w:r>
          </w:p>
        </w:tc>
        <w:tc>
          <w:tcPr>
            <w:tcW w:w="2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047B0">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功能描述</w:t>
            </w:r>
          </w:p>
        </w:tc>
        <w:tc>
          <w:tcPr>
            <w:tcW w:w="1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23216">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目标</w:t>
            </w:r>
          </w:p>
        </w:tc>
      </w:tr>
      <w:tr w14:paraId="78823376">
        <w:tblPrEx>
          <w:tblCellMar>
            <w:top w:w="0" w:type="dxa"/>
            <w:left w:w="108" w:type="dxa"/>
            <w:bottom w:w="0" w:type="dxa"/>
            <w:right w:w="108" w:type="dxa"/>
          </w:tblCellMar>
        </w:tblPrEx>
        <w:trPr>
          <w:trHeight w:val="9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7F31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E00F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人事档案管理</w:t>
            </w:r>
          </w:p>
        </w:tc>
        <w:tc>
          <w:tcPr>
            <w:tcW w:w="2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1D4ED">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用于管理企业内的人事档案信息。</w:t>
            </w:r>
          </w:p>
          <w:p w14:paraId="33CAC060">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建议提供人事档案收集、审核、编辑等功能。建议将人事信息状态分为试用期、正式、退休、停薪留职、离职、代管、实习等不同分类。</w:t>
            </w:r>
          </w:p>
          <w:p w14:paraId="30F571F5">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应提供基于人事档案信息的分析功能。</w:t>
            </w:r>
          </w:p>
        </w:tc>
        <w:tc>
          <w:tcPr>
            <w:tcW w:w="1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8DE0C">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为系统中的审批流程、信息管理、数据权限划分提供数据支撑。</w:t>
            </w:r>
          </w:p>
        </w:tc>
      </w:tr>
      <w:tr w14:paraId="17AA8C8E">
        <w:tblPrEx>
          <w:tblCellMar>
            <w:top w:w="0" w:type="dxa"/>
            <w:left w:w="108" w:type="dxa"/>
            <w:bottom w:w="0" w:type="dxa"/>
            <w:right w:w="108" w:type="dxa"/>
          </w:tblCellMar>
        </w:tblPrEx>
        <w:trPr>
          <w:trHeight w:val="928"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A106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7D30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岗位、职级管理</w:t>
            </w:r>
          </w:p>
        </w:tc>
        <w:tc>
          <w:tcPr>
            <w:tcW w:w="2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7EFCA">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对应岗位、职级管理，为员工检索、基本工资管理、绩效考评管理、权限管理提供数据基础。</w:t>
            </w:r>
          </w:p>
        </w:tc>
        <w:tc>
          <w:tcPr>
            <w:tcW w:w="1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0090D">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为员工绩效管理、角色授权管理提供数据基础。</w:t>
            </w:r>
          </w:p>
        </w:tc>
      </w:tr>
      <w:tr w14:paraId="669E0274">
        <w:tblPrEx>
          <w:tblCellMar>
            <w:top w:w="0" w:type="dxa"/>
            <w:left w:w="108" w:type="dxa"/>
            <w:bottom w:w="0" w:type="dxa"/>
            <w:right w:w="108" w:type="dxa"/>
          </w:tblCellMar>
        </w:tblPrEx>
        <w:trPr>
          <w:trHeight w:val="928"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D0A53">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52CF3">
            <w:pPr>
              <w:widowControl/>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人员需求管理</w:t>
            </w:r>
          </w:p>
        </w:tc>
        <w:tc>
          <w:tcPr>
            <w:tcW w:w="2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80FF1">
            <w:pPr>
              <w:keepNext w:val="0"/>
              <w:keepLines w:val="0"/>
              <w:widowControl/>
              <w:suppressLineNumbers w:val="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用于分析和规划企业的人员需求。根据企业的业务发展战略、项目计划和人员流动情况，预测不同岗位、不同时间段的人员需求数量和资质要求</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特别是对于具有针对性的招募需求的岗位</w:t>
            </w:r>
            <w:r>
              <w:rPr>
                <w:rFonts w:hint="eastAsia" w:ascii="仿宋_GB2312" w:hAnsi="仿宋_GB2312" w:eastAsia="仿宋_GB2312" w:cs="仿宋_GB2312"/>
                <w:color w:val="auto"/>
                <w:kern w:val="0"/>
                <w:sz w:val="24"/>
                <w:szCs w:val="24"/>
              </w:rPr>
              <w:t>。</w:t>
            </w:r>
          </w:p>
        </w:tc>
        <w:tc>
          <w:tcPr>
            <w:tcW w:w="1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5291F">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为企业合理配置人力资源提供决策依据，避免人员短缺或冗余，提高人力资源利用效率，保障业务顺利开展。</w:t>
            </w:r>
          </w:p>
        </w:tc>
      </w:tr>
      <w:tr w14:paraId="177C2782">
        <w:tblPrEx>
          <w:tblCellMar>
            <w:top w:w="0" w:type="dxa"/>
            <w:left w:w="108" w:type="dxa"/>
            <w:bottom w:w="0" w:type="dxa"/>
            <w:right w:w="108" w:type="dxa"/>
          </w:tblCellMar>
        </w:tblPrEx>
        <w:trPr>
          <w:trHeight w:val="9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56C04">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E45C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人员资质管理</w:t>
            </w:r>
          </w:p>
        </w:tc>
        <w:tc>
          <w:tcPr>
            <w:tcW w:w="2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734D9">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配合人事档案使用，用于管理企业内的员工资质信息。</w:t>
            </w:r>
          </w:p>
          <w:p w14:paraId="2EF42BF3">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系统提供资质录入、转入、转出、续期、续期提醒等相关功能。</w:t>
            </w:r>
          </w:p>
          <w:p w14:paraId="22638EEF">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人员资质信息在投标资料库可以查询到。</w:t>
            </w:r>
          </w:p>
        </w:tc>
        <w:tc>
          <w:tcPr>
            <w:tcW w:w="1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63C55">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为投标资料库、签字师、电子签名等功能提供数据支撑。</w:t>
            </w:r>
          </w:p>
        </w:tc>
      </w:tr>
      <w:tr w14:paraId="65DA4289">
        <w:tblPrEx>
          <w:tblCellMar>
            <w:top w:w="0" w:type="dxa"/>
            <w:left w:w="108" w:type="dxa"/>
            <w:bottom w:w="0" w:type="dxa"/>
            <w:right w:w="108" w:type="dxa"/>
          </w:tblCellMar>
        </w:tblPrEx>
        <w:trPr>
          <w:trHeight w:val="15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35AFC">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BCE2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人员绩效管理</w:t>
            </w:r>
          </w:p>
        </w:tc>
        <w:tc>
          <w:tcPr>
            <w:tcW w:w="2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36FED">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用于管理企业员工的工作绩效，协同日常工作管理的数据实现对员工绩效的快速测评。</w:t>
            </w:r>
          </w:p>
          <w:p w14:paraId="73BF34C7">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系统应提供针对造价咨询企业员工的日常人员绩效统计功能，收集各项任务完成的工作效率，汇总生成月度或周期内的工作完成记录表。</w:t>
            </w:r>
          </w:p>
          <w:p w14:paraId="35EEDA04">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系统可以考虑在绩效管理的基础上，根据企业自身特点，生成工资表。</w:t>
            </w:r>
          </w:p>
        </w:tc>
        <w:tc>
          <w:tcPr>
            <w:tcW w:w="1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AB823">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减轻周期性、事务性工作负担；</w:t>
            </w:r>
          </w:p>
          <w:p w14:paraId="796A3645">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客观评价企业员工的工作绩效，为企业生产定额提供数据支撑；</w:t>
            </w:r>
          </w:p>
          <w:p w14:paraId="1EBBB602">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从业务管理入手，协同职能部门和业务部门，便于识别数据和管理堵点，为后续优化工作提供支撑。</w:t>
            </w:r>
          </w:p>
        </w:tc>
      </w:tr>
      <w:tr w14:paraId="6C9CC3AA">
        <w:tblPrEx>
          <w:tblCellMar>
            <w:top w:w="0" w:type="dxa"/>
            <w:left w:w="108" w:type="dxa"/>
            <w:bottom w:w="0" w:type="dxa"/>
            <w:right w:w="108" w:type="dxa"/>
          </w:tblCellMar>
        </w:tblPrEx>
        <w:trPr>
          <w:trHeight w:val="379"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0680F">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1BAD4">
            <w:pPr>
              <w:widowControl/>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继续教育管理</w:t>
            </w:r>
          </w:p>
        </w:tc>
        <w:tc>
          <w:tcPr>
            <w:tcW w:w="2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F6464">
            <w:pPr>
              <w:widowControl/>
              <w:jc w:val="left"/>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用于跟踪管理企业员工的继续教育情况，及时提醒督促企业和员工持续接收新知识，获取新能力。</w:t>
            </w:r>
          </w:p>
          <w:p w14:paraId="7B949BAA">
            <w:pPr>
              <w:widowControl/>
              <w:jc w:val="left"/>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系统应提供自动提醒完成继续教育的功能，督促企业和员工个人完成继续教育。</w:t>
            </w:r>
          </w:p>
          <w:p w14:paraId="6C96619D">
            <w:pPr>
              <w:widowControl/>
              <w:jc w:val="left"/>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系统应提供对接员工绩效评价结果的功能，识别员工技能薄弱环节，针对性提示、督促员工补齐短板。</w:t>
            </w:r>
          </w:p>
        </w:tc>
        <w:tc>
          <w:tcPr>
            <w:tcW w:w="1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48FE9">
            <w:pPr>
              <w:widowControl/>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为企业、员工个人督促自我提升提供技术手段；</w:t>
            </w:r>
          </w:p>
          <w:p w14:paraId="2F6CC666">
            <w:pPr>
              <w:widowControl/>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为员工个人补齐个人能力短板提供数据支持。</w:t>
            </w:r>
          </w:p>
        </w:tc>
      </w:tr>
      <w:tr w14:paraId="55691194">
        <w:tblPrEx>
          <w:tblCellMar>
            <w:top w:w="0" w:type="dxa"/>
            <w:left w:w="108" w:type="dxa"/>
            <w:bottom w:w="0" w:type="dxa"/>
            <w:right w:w="108" w:type="dxa"/>
          </w:tblCellMar>
        </w:tblPrEx>
        <w:trPr>
          <w:trHeight w:val="435"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92C84">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62D4E">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综合考评管理</w:t>
            </w:r>
          </w:p>
        </w:tc>
        <w:tc>
          <w:tcPr>
            <w:tcW w:w="2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48B58">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用于管理企业内的员工综合考评，以主观考评为主，是人员绩效管理的补充。</w:t>
            </w:r>
          </w:p>
          <w:p w14:paraId="65A56466">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系统提供基于岗位、组织架构的绩效考评规则设置，为每个岗位的员工提供独立的考评体系，自动汇总考评分数，自动</w:t>
            </w:r>
            <w:r>
              <w:rPr>
                <w:rFonts w:hint="eastAsia" w:ascii="仿宋_GB2312" w:hAnsi="仿宋_GB2312" w:eastAsia="仿宋_GB2312" w:cs="仿宋_GB2312"/>
                <w:color w:val="000000"/>
                <w:kern w:val="0"/>
                <w:sz w:val="24"/>
                <w:szCs w:val="24"/>
                <w:lang w:eastAsia="zh-CN"/>
              </w:rPr>
              <w:t>形成</w:t>
            </w:r>
            <w:r>
              <w:rPr>
                <w:rFonts w:hint="eastAsia" w:ascii="仿宋_GB2312" w:hAnsi="仿宋_GB2312" w:eastAsia="仿宋_GB2312" w:cs="仿宋_GB2312"/>
                <w:color w:val="000000"/>
                <w:kern w:val="0"/>
                <w:sz w:val="24"/>
                <w:szCs w:val="24"/>
              </w:rPr>
              <w:t>员工考评结果表。</w:t>
            </w:r>
          </w:p>
          <w:p w14:paraId="5FD29263">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绩效考评可以引入财务指标和项目指标，通过财务到账和项目评价自动带入一定时期内的考评结果。</w:t>
            </w:r>
          </w:p>
        </w:tc>
        <w:tc>
          <w:tcPr>
            <w:tcW w:w="1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0FB22">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作为人员绩效管理的补充，通过引入主观考评来提升绩效管理的灵活性。</w:t>
            </w:r>
          </w:p>
        </w:tc>
      </w:tr>
      <w:tr w14:paraId="0D313332">
        <w:tblPrEx>
          <w:tblCellMar>
            <w:top w:w="0" w:type="dxa"/>
            <w:left w:w="108" w:type="dxa"/>
            <w:bottom w:w="0" w:type="dxa"/>
            <w:right w:w="108" w:type="dxa"/>
          </w:tblCellMar>
        </w:tblPrEx>
        <w:trPr>
          <w:trHeight w:val="9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E169">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418B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离职管理</w:t>
            </w:r>
          </w:p>
        </w:tc>
        <w:tc>
          <w:tcPr>
            <w:tcW w:w="26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7F849">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用于管理企业人员的离职管理。</w:t>
            </w:r>
          </w:p>
          <w:p w14:paraId="06BAC9BE">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建议将转交办理、离职审批、手续办理分为三个不同的管理维度来设计。</w:t>
            </w:r>
          </w:p>
          <w:p w14:paraId="7698EC49">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三个维度工作可以完全独立，通过这种设计可以兼顾灵活性和风险管理。</w:t>
            </w:r>
          </w:p>
        </w:tc>
        <w:tc>
          <w:tcPr>
            <w:tcW w:w="1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040EB">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确保项目、报告、资料等业务信息交接完毕。</w:t>
            </w:r>
          </w:p>
          <w:p w14:paraId="6182A219">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确保财务、人事、综合办公手续办理完毕。</w:t>
            </w:r>
          </w:p>
          <w:p w14:paraId="3EFD67C2">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确保信息系统权限已全部清除。</w:t>
            </w:r>
          </w:p>
        </w:tc>
      </w:tr>
    </w:tbl>
    <w:p w14:paraId="554F1180">
      <w:pPr>
        <w:pStyle w:val="4"/>
        <w:ind w:firstLine="602"/>
        <w:rPr>
          <w:rFonts w:hint="eastAsia"/>
          <w:b/>
          <w:bCs/>
          <w:u w:val="single"/>
        </w:rPr>
      </w:pPr>
    </w:p>
    <w:p w14:paraId="59D6B2D5">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u w:val="single"/>
        </w:rPr>
        <w:t>综合办公管理功能</w:t>
      </w:r>
    </w:p>
    <w:p w14:paraId="7F6A7D0B">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pPr>
      <w:r>
        <w:rPr>
          <w:rFonts w:hint="eastAsia" w:ascii="仿宋_GB2312" w:hAnsi="仿宋_GB2312" w:eastAsia="仿宋_GB2312" w:cs="仿宋_GB2312"/>
          <w:sz w:val="32"/>
          <w:szCs w:val="32"/>
        </w:rPr>
        <w:t>业务管理平台需要具备综合办公管理能力。综合办公管理的相关功能围绕企业内各类有形、无形资产的管理展开。</w:t>
      </w:r>
    </w:p>
    <w:tbl>
      <w:tblPr>
        <w:tblStyle w:val="18"/>
        <w:tblW w:w="5000" w:type="pct"/>
        <w:tblInd w:w="0" w:type="dxa"/>
        <w:tblLayout w:type="fixed"/>
        <w:tblCellMar>
          <w:top w:w="0" w:type="dxa"/>
          <w:left w:w="108" w:type="dxa"/>
          <w:bottom w:w="0" w:type="dxa"/>
          <w:right w:w="108" w:type="dxa"/>
        </w:tblCellMar>
      </w:tblPr>
      <w:tblGrid>
        <w:gridCol w:w="620"/>
        <w:gridCol w:w="1109"/>
        <w:gridCol w:w="4922"/>
        <w:gridCol w:w="1871"/>
      </w:tblGrid>
      <w:tr w14:paraId="52DDDF22">
        <w:tblPrEx>
          <w:tblCellMar>
            <w:top w:w="0" w:type="dxa"/>
            <w:left w:w="108" w:type="dxa"/>
            <w:bottom w:w="0" w:type="dxa"/>
            <w:right w:w="108" w:type="dxa"/>
          </w:tblCellMar>
        </w:tblPrEx>
        <w:trPr>
          <w:trHeight w:val="6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7AA2D">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序号</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0EB91">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功能名称</w:t>
            </w:r>
          </w:p>
        </w:tc>
        <w:tc>
          <w:tcPr>
            <w:tcW w:w="2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D4ACA">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功能描述</w:t>
            </w:r>
          </w:p>
        </w:tc>
        <w:tc>
          <w:tcPr>
            <w:tcW w:w="10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B3B15">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目标</w:t>
            </w:r>
          </w:p>
        </w:tc>
      </w:tr>
      <w:tr w14:paraId="4062318A">
        <w:tblPrEx>
          <w:tblCellMar>
            <w:top w:w="0" w:type="dxa"/>
            <w:left w:w="108" w:type="dxa"/>
            <w:bottom w:w="0" w:type="dxa"/>
            <w:right w:w="108" w:type="dxa"/>
          </w:tblCellMar>
        </w:tblPrEx>
        <w:trPr>
          <w:trHeight w:val="12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5804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52AF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通知公告管理</w:t>
            </w:r>
          </w:p>
        </w:tc>
        <w:tc>
          <w:tcPr>
            <w:tcW w:w="2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1B972">
            <w:pPr>
              <w:widowControl/>
              <w:jc w:val="left"/>
              <w:textAlignment w:val="center"/>
              <w:rPr>
                <w:rFonts w:hint="eastAsia" w:ascii="仿宋_GB2312" w:hAnsi="仿宋_GB2312" w:eastAsia="仿宋_GB2312" w:cs="仿宋_GB2312"/>
                <w:color w:val="000000"/>
                <w:sz w:val="24"/>
                <w:szCs w:val="24"/>
              </w:rPr>
            </w:pPr>
            <w:r>
              <w:rPr>
                <w:rStyle w:val="25"/>
                <w:rFonts w:hint="eastAsia" w:ascii="仿宋_GB2312" w:hAnsi="仿宋_GB2312" w:eastAsia="仿宋_GB2312" w:cs="仿宋_GB2312"/>
                <w:sz w:val="24"/>
                <w:szCs w:val="24"/>
              </w:rPr>
              <w:t>用于管理</w:t>
            </w:r>
            <w:r>
              <w:rPr>
                <w:rStyle w:val="25"/>
                <w:rFonts w:hint="eastAsia" w:ascii="仿宋_GB2312" w:hAnsi="仿宋_GB2312" w:eastAsia="仿宋_GB2312" w:cs="仿宋_GB2312"/>
                <w:sz w:val="24"/>
                <w:szCs w:val="24"/>
                <w:lang w:eastAsia="zh-CN"/>
              </w:rPr>
              <w:t>企业</w:t>
            </w:r>
            <w:r>
              <w:rPr>
                <w:rStyle w:val="25"/>
                <w:rFonts w:hint="eastAsia" w:ascii="仿宋_GB2312" w:hAnsi="仿宋_GB2312" w:eastAsia="仿宋_GB2312" w:cs="仿宋_GB2312"/>
                <w:sz w:val="24"/>
                <w:szCs w:val="24"/>
              </w:rPr>
              <w:t>的通知公告。针对部门、岗位、用户设置</w:t>
            </w:r>
            <w:r>
              <w:rPr>
                <w:rStyle w:val="26"/>
                <w:rFonts w:hint="eastAsia" w:ascii="仿宋_GB2312" w:hAnsi="仿宋_GB2312" w:eastAsia="仿宋_GB2312" w:cs="仿宋_GB2312"/>
                <w:sz w:val="24"/>
                <w:szCs w:val="24"/>
              </w:rPr>
              <w:t>阅读权限</w:t>
            </w:r>
            <w:r>
              <w:rPr>
                <w:rStyle w:val="25"/>
                <w:rFonts w:hint="eastAsia" w:ascii="仿宋_GB2312" w:hAnsi="仿宋_GB2312" w:eastAsia="仿宋_GB2312" w:cs="仿宋_GB2312"/>
                <w:sz w:val="24"/>
                <w:szCs w:val="24"/>
              </w:rPr>
              <w:t>，提供</w:t>
            </w:r>
            <w:r>
              <w:rPr>
                <w:rStyle w:val="26"/>
                <w:rFonts w:hint="eastAsia" w:ascii="仿宋_GB2312" w:hAnsi="仿宋_GB2312" w:eastAsia="仿宋_GB2312" w:cs="仿宋_GB2312"/>
                <w:sz w:val="24"/>
                <w:szCs w:val="24"/>
              </w:rPr>
              <w:t>推送</w:t>
            </w:r>
            <w:r>
              <w:rPr>
                <w:rStyle w:val="25"/>
                <w:rFonts w:hint="eastAsia" w:ascii="仿宋_GB2312" w:hAnsi="仿宋_GB2312" w:eastAsia="仿宋_GB2312" w:cs="仿宋_GB2312"/>
                <w:sz w:val="24"/>
                <w:szCs w:val="24"/>
              </w:rPr>
              <w:t>至用户手机的功能，提供用户</w:t>
            </w:r>
            <w:r>
              <w:rPr>
                <w:rStyle w:val="26"/>
                <w:rFonts w:hint="eastAsia" w:ascii="仿宋_GB2312" w:hAnsi="仿宋_GB2312" w:eastAsia="仿宋_GB2312" w:cs="仿宋_GB2312"/>
                <w:sz w:val="24"/>
                <w:szCs w:val="24"/>
                <w:u w:val="none"/>
              </w:rPr>
              <w:t>查阅公告有时间记录的功能</w:t>
            </w:r>
            <w:r>
              <w:rPr>
                <w:rStyle w:val="25"/>
                <w:rFonts w:hint="eastAsia" w:ascii="仿宋_GB2312" w:hAnsi="仿宋_GB2312" w:eastAsia="仿宋_GB2312" w:cs="仿宋_GB2312"/>
                <w:sz w:val="24"/>
                <w:szCs w:val="24"/>
              </w:rPr>
              <w:t>。</w:t>
            </w:r>
          </w:p>
        </w:tc>
        <w:tc>
          <w:tcPr>
            <w:tcW w:w="10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7AC7D">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提供一个到移动端的通知公告发送渠道。</w:t>
            </w:r>
          </w:p>
        </w:tc>
      </w:tr>
      <w:tr w14:paraId="671F54EB">
        <w:tblPrEx>
          <w:tblCellMar>
            <w:top w:w="0" w:type="dxa"/>
            <w:left w:w="108" w:type="dxa"/>
            <w:bottom w:w="0" w:type="dxa"/>
            <w:right w:w="108" w:type="dxa"/>
          </w:tblCellMar>
        </w:tblPrEx>
        <w:trPr>
          <w:trHeight w:val="12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23C00">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6E78B">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制度管理</w:t>
            </w:r>
          </w:p>
        </w:tc>
        <w:tc>
          <w:tcPr>
            <w:tcW w:w="2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9E8B8">
            <w:pPr>
              <w:widowControl/>
              <w:jc w:val="left"/>
              <w:textAlignment w:val="center"/>
              <w:rPr>
                <w:rStyle w:val="25"/>
                <w:rFonts w:hint="eastAsia" w:ascii="仿宋_GB2312" w:hAnsi="仿宋_GB2312" w:eastAsia="仿宋_GB2312" w:cs="仿宋_GB2312"/>
                <w:sz w:val="24"/>
                <w:szCs w:val="24"/>
              </w:rPr>
            </w:pPr>
            <w:r>
              <w:rPr>
                <w:rStyle w:val="25"/>
                <w:rFonts w:hint="eastAsia" w:ascii="仿宋_GB2312" w:hAnsi="仿宋_GB2312" w:eastAsia="仿宋_GB2312" w:cs="仿宋_GB2312"/>
                <w:sz w:val="24"/>
                <w:szCs w:val="24"/>
              </w:rPr>
              <w:t>用于管理企业的制度。</w:t>
            </w:r>
          </w:p>
          <w:p w14:paraId="011803E8">
            <w:pPr>
              <w:widowControl/>
              <w:jc w:val="left"/>
              <w:textAlignment w:val="center"/>
              <w:rPr>
                <w:rStyle w:val="25"/>
                <w:rFonts w:hint="eastAsia" w:ascii="仿宋_GB2312" w:hAnsi="仿宋_GB2312" w:eastAsia="仿宋_GB2312" w:cs="仿宋_GB2312"/>
                <w:sz w:val="24"/>
                <w:szCs w:val="24"/>
              </w:rPr>
            </w:pPr>
            <w:r>
              <w:rPr>
                <w:rStyle w:val="25"/>
                <w:rFonts w:hint="eastAsia" w:ascii="仿宋_GB2312" w:hAnsi="仿宋_GB2312" w:eastAsia="仿宋_GB2312" w:cs="仿宋_GB2312"/>
                <w:sz w:val="24"/>
                <w:szCs w:val="24"/>
              </w:rPr>
              <w:t>需提供制度录入、编辑、修订、设置</w:t>
            </w:r>
            <w:r>
              <w:rPr>
                <w:rStyle w:val="26"/>
                <w:rFonts w:hint="eastAsia" w:ascii="仿宋_GB2312" w:hAnsi="仿宋_GB2312" w:eastAsia="仿宋_GB2312" w:cs="仿宋_GB2312"/>
                <w:sz w:val="24"/>
                <w:szCs w:val="24"/>
              </w:rPr>
              <w:t>阅读权限</w:t>
            </w:r>
            <w:r>
              <w:rPr>
                <w:rStyle w:val="25"/>
                <w:rFonts w:hint="eastAsia" w:ascii="仿宋_GB2312" w:hAnsi="仿宋_GB2312" w:eastAsia="仿宋_GB2312" w:cs="仿宋_GB2312"/>
                <w:sz w:val="24"/>
                <w:szCs w:val="24"/>
              </w:rPr>
              <w:t>等功能。</w:t>
            </w:r>
          </w:p>
          <w:p w14:paraId="4B694ED8">
            <w:pPr>
              <w:widowControl/>
              <w:jc w:val="left"/>
              <w:textAlignment w:val="center"/>
              <w:rPr>
                <w:rStyle w:val="25"/>
                <w:rFonts w:hint="eastAsia" w:ascii="仿宋_GB2312" w:hAnsi="仿宋_GB2312" w:eastAsia="仿宋_GB2312" w:cs="仿宋_GB2312"/>
                <w:sz w:val="24"/>
                <w:szCs w:val="24"/>
              </w:rPr>
            </w:pPr>
            <w:r>
              <w:rPr>
                <w:rStyle w:val="26"/>
                <w:rFonts w:hint="eastAsia" w:ascii="仿宋_GB2312" w:hAnsi="仿宋_GB2312" w:eastAsia="仿宋_GB2312" w:cs="仿宋_GB2312"/>
                <w:sz w:val="24"/>
                <w:szCs w:val="24"/>
              </w:rPr>
              <w:t>可见范围</w:t>
            </w:r>
            <w:r>
              <w:rPr>
                <w:rStyle w:val="25"/>
                <w:rFonts w:hint="eastAsia" w:ascii="仿宋_GB2312" w:hAnsi="仿宋_GB2312" w:eastAsia="仿宋_GB2312" w:cs="仿宋_GB2312"/>
                <w:sz w:val="24"/>
                <w:szCs w:val="24"/>
              </w:rPr>
              <w:t>可以按照具体部门、岗位或开放等模式进行设置；</w:t>
            </w:r>
          </w:p>
          <w:p w14:paraId="552F8A7F">
            <w:pPr>
              <w:widowControl/>
              <w:jc w:val="left"/>
              <w:textAlignment w:val="center"/>
              <w:rPr>
                <w:rStyle w:val="25"/>
                <w:rFonts w:hint="eastAsia" w:ascii="仿宋_GB2312" w:hAnsi="仿宋_GB2312" w:eastAsia="仿宋_GB2312" w:cs="仿宋_GB2312"/>
                <w:sz w:val="24"/>
                <w:szCs w:val="24"/>
              </w:rPr>
            </w:pPr>
            <w:r>
              <w:rPr>
                <w:rStyle w:val="26"/>
                <w:rFonts w:hint="eastAsia" w:ascii="仿宋_GB2312" w:hAnsi="仿宋_GB2312" w:eastAsia="仿宋_GB2312" w:cs="仿宋_GB2312"/>
                <w:sz w:val="24"/>
                <w:szCs w:val="24"/>
              </w:rPr>
              <w:t>查阅权限</w:t>
            </w:r>
            <w:r>
              <w:rPr>
                <w:rStyle w:val="25"/>
                <w:rFonts w:hint="eastAsia" w:ascii="仿宋_GB2312" w:hAnsi="仿宋_GB2312" w:eastAsia="仿宋_GB2312" w:cs="仿宋_GB2312"/>
                <w:sz w:val="24"/>
                <w:szCs w:val="24"/>
              </w:rPr>
              <w:t>可以按照为可见即可查阅、每次查阅都需审批、一次审批永久查阅、一次审批一段时间可查阅等模式进行设置；</w:t>
            </w:r>
          </w:p>
          <w:p w14:paraId="3A08A2F6">
            <w:pPr>
              <w:widowControl/>
              <w:jc w:val="left"/>
              <w:textAlignment w:val="center"/>
              <w:rPr>
                <w:rFonts w:hint="eastAsia" w:ascii="仿宋_GB2312" w:hAnsi="仿宋_GB2312" w:eastAsia="仿宋_GB2312" w:cs="仿宋_GB2312"/>
                <w:color w:val="000000"/>
                <w:sz w:val="24"/>
                <w:szCs w:val="24"/>
              </w:rPr>
            </w:pPr>
            <w:r>
              <w:rPr>
                <w:rStyle w:val="25"/>
                <w:rFonts w:hint="eastAsia" w:ascii="仿宋_GB2312" w:hAnsi="仿宋_GB2312" w:eastAsia="仿宋_GB2312" w:cs="仿宋_GB2312"/>
                <w:sz w:val="24"/>
                <w:szCs w:val="24"/>
              </w:rPr>
              <w:t>需要提供记录制度的</w:t>
            </w:r>
            <w:r>
              <w:rPr>
                <w:rStyle w:val="26"/>
                <w:rFonts w:hint="eastAsia" w:ascii="仿宋_GB2312" w:hAnsi="仿宋_GB2312" w:eastAsia="仿宋_GB2312" w:cs="仿宋_GB2312"/>
                <w:sz w:val="24"/>
                <w:szCs w:val="24"/>
              </w:rPr>
              <w:t>修订记录</w:t>
            </w:r>
            <w:r>
              <w:rPr>
                <w:rStyle w:val="26"/>
                <w:rFonts w:hint="eastAsia" w:ascii="仿宋_GB2312" w:hAnsi="仿宋_GB2312" w:eastAsia="仿宋_GB2312" w:cs="仿宋_GB2312"/>
                <w:sz w:val="24"/>
                <w:szCs w:val="24"/>
                <w:u w:val="none"/>
              </w:rPr>
              <w:t>、</w:t>
            </w:r>
            <w:r>
              <w:rPr>
                <w:rStyle w:val="26"/>
                <w:rFonts w:hint="eastAsia" w:ascii="仿宋_GB2312" w:hAnsi="仿宋_GB2312" w:eastAsia="仿宋_GB2312" w:cs="仿宋_GB2312"/>
                <w:sz w:val="24"/>
                <w:szCs w:val="24"/>
              </w:rPr>
              <w:t>阅读记录</w:t>
            </w:r>
            <w:r>
              <w:rPr>
                <w:rStyle w:val="26"/>
                <w:rFonts w:hint="eastAsia" w:ascii="仿宋_GB2312" w:hAnsi="仿宋_GB2312" w:eastAsia="仿宋_GB2312" w:cs="仿宋_GB2312"/>
                <w:sz w:val="24"/>
                <w:szCs w:val="24"/>
                <w:u w:val="none"/>
              </w:rPr>
              <w:t>的</w:t>
            </w:r>
            <w:r>
              <w:rPr>
                <w:rStyle w:val="25"/>
                <w:rFonts w:hint="eastAsia" w:ascii="仿宋_GB2312" w:hAnsi="仿宋_GB2312" w:eastAsia="仿宋_GB2312" w:cs="仿宋_GB2312"/>
                <w:sz w:val="24"/>
                <w:szCs w:val="24"/>
              </w:rPr>
              <w:t>功能。</w:t>
            </w:r>
          </w:p>
        </w:tc>
        <w:tc>
          <w:tcPr>
            <w:tcW w:w="10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50388">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提供在线制度管理、查阅、修订标准渠道。</w:t>
            </w:r>
          </w:p>
          <w:p w14:paraId="55F13346">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在提供便捷查阅的基础上，有效管控数据查阅范围。</w:t>
            </w:r>
          </w:p>
        </w:tc>
      </w:tr>
      <w:tr w14:paraId="1BD931E1">
        <w:tblPrEx>
          <w:tblCellMar>
            <w:top w:w="0" w:type="dxa"/>
            <w:left w:w="108" w:type="dxa"/>
            <w:bottom w:w="0" w:type="dxa"/>
            <w:right w:w="108" w:type="dxa"/>
          </w:tblCellMar>
        </w:tblPrEx>
        <w:trPr>
          <w:trHeight w:val="322"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876DA">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30BC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采购管理</w:t>
            </w:r>
          </w:p>
        </w:tc>
        <w:tc>
          <w:tcPr>
            <w:tcW w:w="2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C655C">
            <w:pPr>
              <w:widowControl/>
              <w:jc w:val="left"/>
              <w:textAlignment w:val="center"/>
              <w:rPr>
                <w:rStyle w:val="25"/>
                <w:rFonts w:hint="eastAsia" w:ascii="仿宋_GB2312" w:hAnsi="仿宋_GB2312" w:eastAsia="仿宋_GB2312" w:cs="仿宋_GB2312"/>
                <w:sz w:val="24"/>
                <w:szCs w:val="24"/>
              </w:rPr>
            </w:pPr>
            <w:r>
              <w:rPr>
                <w:rStyle w:val="25"/>
                <w:rFonts w:hint="eastAsia" w:ascii="仿宋_GB2312" w:hAnsi="仿宋_GB2312" w:eastAsia="仿宋_GB2312" w:cs="仿宋_GB2312"/>
                <w:sz w:val="24"/>
                <w:szCs w:val="24"/>
              </w:rPr>
              <w:t>用于管理企业的采购活动。</w:t>
            </w:r>
          </w:p>
          <w:p w14:paraId="5659A1B1">
            <w:pPr>
              <w:widowControl/>
              <w:jc w:val="left"/>
              <w:textAlignment w:val="center"/>
              <w:rPr>
                <w:rStyle w:val="25"/>
                <w:rFonts w:hint="eastAsia" w:ascii="仿宋_GB2312" w:hAnsi="仿宋_GB2312" w:eastAsia="仿宋_GB2312" w:cs="仿宋_GB2312"/>
                <w:sz w:val="24"/>
                <w:szCs w:val="24"/>
              </w:rPr>
            </w:pPr>
            <w:r>
              <w:rPr>
                <w:rStyle w:val="25"/>
                <w:rFonts w:hint="eastAsia" w:ascii="仿宋_GB2312" w:hAnsi="仿宋_GB2312" w:eastAsia="仿宋_GB2312" w:cs="仿宋_GB2312"/>
                <w:sz w:val="24"/>
                <w:szCs w:val="24"/>
              </w:rPr>
              <w:t>提供了按照采购对象品目分级管理的功能，给不同供应商提供不同的品目商品的采购管理模式，有入围</w:t>
            </w:r>
            <w:r>
              <w:rPr>
                <w:rStyle w:val="25"/>
                <w:rFonts w:hint="eastAsia" w:ascii="仿宋_GB2312" w:hAnsi="仿宋_GB2312" w:eastAsia="仿宋_GB2312" w:cs="仿宋_GB2312"/>
                <w:sz w:val="24"/>
                <w:szCs w:val="24"/>
                <w:lang w:eastAsia="zh-CN"/>
              </w:rPr>
              <w:t>即可</w:t>
            </w:r>
            <w:r>
              <w:rPr>
                <w:rStyle w:val="25"/>
                <w:rFonts w:hint="eastAsia" w:ascii="仿宋_GB2312" w:hAnsi="仿宋_GB2312" w:eastAsia="仿宋_GB2312" w:cs="仿宋_GB2312"/>
                <w:sz w:val="24"/>
                <w:szCs w:val="24"/>
              </w:rPr>
              <w:t>直接采购、入围仍需比价采购、每次都需公开比价等多种采购比价模式。</w:t>
            </w:r>
          </w:p>
          <w:p w14:paraId="2DE4AE92">
            <w:pPr>
              <w:widowControl/>
              <w:jc w:val="left"/>
              <w:textAlignment w:val="center"/>
              <w:rPr>
                <w:rFonts w:hint="eastAsia" w:ascii="仿宋_GB2312" w:hAnsi="仿宋_GB2312" w:eastAsia="仿宋_GB2312" w:cs="仿宋_GB2312"/>
                <w:color w:val="000000"/>
                <w:sz w:val="24"/>
                <w:szCs w:val="24"/>
              </w:rPr>
            </w:pPr>
            <w:r>
              <w:rPr>
                <w:rStyle w:val="25"/>
                <w:rFonts w:hint="eastAsia" w:ascii="仿宋_GB2312" w:hAnsi="仿宋_GB2312" w:eastAsia="仿宋_GB2312" w:cs="仿宋_GB2312"/>
                <w:sz w:val="24"/>
                <w:szCs w:val="24"/>
              </w:rPr>
              <w:t>提供比价管理功能，实现</w:t>
            </w:r>
            <w:r>
              <w:rPr>
                <w:rStyle w:val="27"/>
                <w:rFonts w:hint="eastAsia" w:ascii="仿宋_GB2312" w:hAnsi="仿宋_GB2312" w:eastAsia="仿宋_GB2312" w:cs="仿宋_GB2312"/>
                <w:color w:val="000000"/>
                <w:sz w:val="24"/>
                <w:szCs w:val="24"/>
              </w:rPr>
              <w:t>对接资产管理能力。</w:t>
            </w:r>
          </w:p>
        </w:tc>
        <w:tc>
          <w:tcPr>
            <w:tcW w:w="10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290FB">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为采购支出统计分析提供数据支撑。</w:t>
            </w:r>
          </w:p>
        </w:tc>
      </w:tr>
      <w:tr w14:paraId="2912E4EE">
        <w:tblPrEx>
          <w:tblCellMar>
            <w:top w:w="0" w:type="dxa"/>
            <w:left w:w="108" w:type="dxa"/>
            <w:bottom w:w="0" w:type="dxa"/>
            <w:right w:w="108" w:type="dxa"/>
          </w:tblCellMar>
        </w:tblPrEx>
        <w:trPr>
          <w:trHeight w:val="9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4DFA3">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B4CB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电子签章</w:t>
            </w:r>
          </w:p>
        </w:tc>
        <w:tc>
          <w:tcPr>
            <w:tcW w:w="2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B7CE9">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用于管理企业内的电子签章管理操作。</w:t>
            </w:r>
          </w:p>
          <w:p w14:paraId="3D73D1CD">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印章管理员可以通过系统中的用印操作直接给电子文件加盖电子签章。</w:t>
            </w:r>
          </w:p>
          <w:p w14:paraId="1B241134">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对于个人签字，系统可以为签字人提供为电子文件添加个人签字的功能。</w:t>
            </w:r>
          </w:p>
        </w:tc>
        <w:tc>
          <w:tcPr>
            <w:tcW w:w="10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EF43F">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实现电子章在线受控管理的能力，电子文件只有在授权用印的情况下加盖电子印章。</w:t>
            </w:r>
          </w:p>
        </w:tc>
      </w:tr>
      <w:tr w14:paraId="118CA0B0">
        <w:tblPrEx>
          <w:tblCellMar>
            <w:top w:w="0" w:type="dxa"/>
            <w:left w:w="108" w:type="dxa"/>
            <w:bottom w:w="0" w:type="dxa"/>
            <w:right w:w="108" w:type="dxa"/>
          </w:tblCellMar>
        </w:tblPrEx>
        <w:trPr>
          <w:trHeight w:val="6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B3BA3">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7FA71">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资产管理</w:t>
            </w:r>
          </w:p>
        </w:tc>
        <w:tc>
          <w:tcPr>
            <w:tcW w:w="2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9A71E">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用于管理企业内的各项资产。提供资产分类管理、资产标识、资产登记、使用、退还、报废等相关功能。</w:t>
            </w:r>
          </w:p>
        </w:tc>
        <w:tc>
          <w:tcPr>
            <w:tcW w:w="10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26CAE">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管理固定资产，有效降低资产浪费，提升资产利用率。</w:t>
            </w:r>
          </w:p>
        </w:tc>
      </w:tr>
      <w:tr w14:paraId="24988616">
        <w:tblPrEx>
          <w:tblCellMar>
            <w:top w:w="0" w:type="dxa"/>
            <w:left w:w="108" w:type="dxa"/>
            <w:bottom w:w="0" w:type="dxa"/>
            <w:right w:w="108" w:type="dxa"/>
          </w:tblCellMar>
        </w:tblPrEx>
        <w:trPr>
          <w:trHeight w:val="295"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5345A">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5BFDA">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耗材管理</w:t>
            </w:r>
          </w:p>
        </w:tc>
        <w:tc>
          <w:tcPr>
            <w:tcW w:w="2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AD395">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用于管理企业内的低值易耗品。提供低值易耗品的分类管理，入库、出库、领用登记等相关功能。</w:t>
            </w:r>
          </w:p>
        </w:tc>
        <w:tc>
          <w:tcPr>
            <w:tcW w:w="10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344AC">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管理耗材，有效降低浪费，为精益管理提供数据支撑。</w:t>
            </w:r>
          </w:p>
        </w:tc>
      </w:tr>
      <w:tr w14:paraId="70620039">
        <w:tblPrEx>
          <w:tblCellMar>
            <w:top w:w="0" w:type="dxa"/>
            <w:left w:w="108" w:type="dxa"/>
            <w:bottom w:w="0" w:type="dxa"/>
            <w:right w:w="108" w:type="dxa"/>
          </w:tblCellMar>
        </w:tblPrEx>
        <w:trPr>
          <w:trHeight w:val="620" w:hRule="atLeast"/>
        </w:trPr>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FB37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6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DA701">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供应商管理</w:t>
            </w:r>
          </w:p>
        </w:tc>
        <w:tc>
          <w:tcPr>
            <w:tcW w:w="2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3496D">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配合采购管理使用，用于企业管理采购相关的供应商。提供供应商比选、入围、供应产品等相关功能。</w:t>
            </w:r>
          </w:p>
        </w:tc>
        <w:tc>
          <w:tcPr>
            <w:tcW w:w="10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D62A5">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为采购管理提供数据支撑。为优质供应商管理提供数据支撑。</w:t>
            </w:r>
          </w:p>
        </w:tc>
      </w:tr>
    </w:tbl>
    <w:p w14:paraId="569D2184">
      <w:pPr>
        <w:pStyle w:val="4"/>
        <w:ind w:firstLine="602"/>
        <w:rPr>
          <w:rFonts w:hint="eastAsia"/>
          <w:b/>
          <w:bCs/>
          <w:u w:val="single"/>
        </w:rPr>
      </w:pPr>
    </w:p>
    <w:p w14:paraId="5D8BB806">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u w:val="single"/>
        </w:rPr>
        <w:t>知识管理功能</w:t>
      </w:r>
    </w:p>
    <w:p w14:paraId="14C76C86">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rPr>
          <w:rFonts w:hint="eastAsia" w:eastAsia="仿宋"/>
          <w:lang w:eastAsia="zh-CN"/>
        </w:rPr>
      </w:pPr>
      <w:r>
        <w:rPr>
          <w:rFonts w:hint="eastAsia" w:ascii="仿宋_GB2312" w:hAnsi="仿宋_GB2312" w:eastAsia="仿宋_GB2312" w:cs="仿宋_GB2312"/>
          <w:sz w:val="32"/>
          <w:szCs w:val="32"/>
        </w:rPr>
        <w:t>业务</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平台需要具备知识管理的能力。企业知识管理领域数字化转型的目标在于（1）收集和统一管理企业内的知识；（2）促进企业内知识提炼、总结和分享；（3）提升企业知识检索、应用的效率；（4）提供评价企业知识创造、应用水平的能力</w:t>
      </w:r>
      <w:r>
        <w:rPr>
          <w:rFonts w:hint="eastAsia" w:ascii="仿宋_GB2312" w:hAnsi="仿宋_GB2312" w:eastAsia="仿宋_GB2312" w:cs="仿宋_GB2312"/>
          <w:sz w:val="32"/>
          <w:szCs w:val="32"/>
          <w:lang w:eastAsia="zh-CN"/>
        </w:rPr>
        <w:t>。</w:t>
      </w:r>
    </w:p>
    <w:tbl>
      <w:tblPr>
        <w:tblStyle w:val="18"/>
        <w:tblW w:w="5000" w:type="pct"/>
        <w:tblInd w:w="0" w:type="dxa"/>
        <w:tblLayout w:type="fixed"/>
        <w:tblCellMar>
          <w:top w:w="0" w:type="dxa"/>
          <w:left w:w="108" w:type="dxa"/>
          <w:bottom w:w="0" w:type="dxa"/>
          <w:right w:w="108" w:type="dxa"/>
        </w:tblCellMar>
      </w:tblPr>
      <w:tblGrid>
        <w:gridCol w:w="619"/>
        <w:gridCol w:w="1153"/>
        <w:gridCol w:w="4562"/>
        <w:gridCol w:w="2188"/>
      </w:tblGrid>
      <w:tr w14:paraId="710FD719">
        <w:tblPrEx>
          <w:tblCellMar>
            <w:top w:w="0" w:type="dxa"/>
            <w:left w:w="108" w:type="dxa"/>
            <w:bottom w:w="0" w:type="dxa"/>
            <w:right w:w="108" w:type="dxa"/>
          </w:tblCellMar>
        </w:tblPrEx>
        <w:trPr>
          <w:trHeight w:val="606"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F3637">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D7B58">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功能名称</w:t>
            </w:r>
          </w:p>
        </w:tc>
        <w:tc>
          <w:tcPr>
            <w:tcW w:w="4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92B15">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功能描述</w:t>
            </w:r>
          </w:p>
        </w:tc>
        <w:tc>
          <w:tcPr>
            <w:tcW w:w="2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FCDFA">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目标</w:t>
            </w:r>
          </w:p>
        </w:tc>
      </w:tr>
      <w:tr w14:paraId="37E17B02">
        <w:tblPrEx>
          <w:tblCellMar>
            <w:top w:w="0" w:type="dxa"/>
            <w:left w:w="108" w:type="dxa"/>
            <w:bottom w:w="0" w:type="dxa"/>
            <w:right w:w="108" w:type="dxa"/>
          </w:tblCellMar>
        </w:tblPrEx>
        <w:trPr>
          <w:trHeight w:val="9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85979">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AED83">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知识管理</w:t>
            </w:r>
          </w:p>
        </w:tc>
        <w:tc>
          <w:tcPr>
            <w:tcW w:w="4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58060">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用于管理企业的知识</w:t>
            </w:r>
            <w:r>
              <w:rPr>
                <w:rFonts w:hint="eastAsia" w:ascii="仿宋_GB2312" w:hAnsi="仿宋_GB2312" w:eastAsia="仿宋_GB2312" w:cs="仿宋_GB2312"/>
                <w:color w:val="auto"/>
                <w:kern w:val="0"/>
                <w:sz w:val="24"/>
                <w:szCs w:val="24"/>
                <w:lang w:val="en-US" w:eastAsia="zh-CN"/>
              </w:rPr>
              <w:t>数据信息，包括造价咨询专业领域知识、企业自身管理规程、操作指引、继续教育教材、扩展资料等</w:t>
            </w:r>
            <w:r>
              <w:rPr>
                <w:rFonts w:hint="eastAsia" w:ascii="仿宋_GB2312" w:hAnsi="仿宋_GB2312" w:eastAsia="仿宋_GB2312" w:cs="仿宋_GB2312"/>
                <w:color w:val="auto"/>
                <w:kern w:val="0"/>
                <w:sz w:val="24"/>
                <w:szCs w:val="24"/>
              </w:rPr>
              <w:t>。</w:t>
            </w:r>
          </w:p>
          <w:p w14:paraId="4EE4FEC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系统应提供按照组织机构、岗位职级、用户设置的阅读和管理权限，每次查阅系统有记录。可以接入视频流。不同文章可以设置不同的分类标签，可以通过标签检索文章。</w:t>
            </w:r>
          </w:p>
        </w:tc>
        <w:tc>
          <w:tcPr>
            <w:tcW w:w="2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F39FF">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提供知识统一存储、管理的功能。</w:t>
            </w:r>
          </w:p>
          <w:p w14:paraId="63CE8DF7">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提供查阅权限管理功能，自动记录查阅信息等。</w:t>
            </w:r>
          </w:p>
        </w:tc>
      </w:tr>
      <w:tr w14:paraId="3AF06C1E">
        <w:tblPrEx>
          <w:tblCellMar>
            <w:top w:w="0" w:type="dxa"/>
            <w:left w:w="108" w:type="dxa"/>
            <w:bottom w:w="0" w:type="dxa"/>
            <w:right w:w="108" w:type="dxa"/>
          </w:tblCellMar>
        </w:tblPrEx>
        <w:trPr>
          <w:trHeight w:val="1795"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BD477">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01F5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题库管理</w:t>
            </w:r>
          </w:p>
        </w:tc>
        <w:tc>
          <w:tcPr>
            <w:tcW w:w="4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6AC67">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用于管理企业的考试题目信息。提供了单选、多选、不定项选择、判断、填空、问答多种题型的编辑和管理能力。提供了除题型外自定义题目分类管理功能，方便管理各专业类别的题目信息。</w:t>
            </w:r>
          </w:p>
        </w:tc>
        <w:tc>
          <w:tcPr>
            <w:tcW w:w="2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99BA9">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为在线考试提供考题数据支持。提供测评题目统一管理的功能。为在线组卷提供自动化管理的能力。</w:t>
            </w:r>
          </w:p>
        </w:tc>
      </w:tr>
      <w:tr w14:paraId="7EEA8FBA">
        <w:tblPrEx>
          <w:tblCellMar>
            <w:top w:w="0" w:type="dxa"/>
            <w:left w:w="108" w:type="dxa"/>
            <w:bottom w:w="0" w:type="dxa"/>
            <w:right w:w="108" w:type="dxa"/>
          </w:tblCellMar>
        </w:tblPrEx>
        <w:trPr>
          <w:trHeight w:val="334"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EE73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34B9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在线考试管理</w:t>
            </w:r>
          </w:p>
        </w:tc>
        <w:tc>
          <w:tcPr>
            <w:tcW w:w="4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D1E37">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用于管理企业的技能考试类活动。</w:t>
            </w:r>
          </w:p>
          <w:p w14:paraId="02BA64C7">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系统应提供题库管理、智能组卷、在线考试等功能，应提供同一类型题目总体相同但顺序打乱，相同题目选项打乱的能力。在功能设计上，应具备客观题自动判卷，主观题人工判卷。</w:t>
            </w:r>
          </w:p>
          <w:p w14:paraId="1D9343FE">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数据管理角度，建议个人考试成绩可以自动对接到绩效考评系统。</w:t>
            </w:r>
          </w:p>
        </w:tc>
        <w:tc>
          <w:tcPr>
            <w:tcW w:w="2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292D8">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提供在线考试、自动评卷的能力。</w:t>
            </w:r>
          </w:p>
          <w:p w14:paraId="38CC0F1C">
            <w:pPr>
              <w:widowControl/>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降低测评知识掌握能力的成本</w:t>
            </w:r>
            <w:r>
              <w:rPr>
                <w:rFonts w:hint="eastAsia" w:ascii="仿宋_GB2312" w:hAnsi="仿宋_GB2312" w:eastAsia="仿宋_GB2312" w:cs="仿宋_GB2312"/>
                <w:color w:val="000000"/>
                <w:sz w:val="24"/>
                <w:szCs w:val="24"/>
                <w:lang w:eastAsia="zh-CN"/>
              </w:rPr>
              <w:t>。</w:t>
            </w:r>
          </w:p>
          <w:p w14:paraId="4F3DFE86">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提升知识转化过程中测试、评价、优化的效率。</w:t>
            </w:r>
          </w:p>
        </w:tc>
      </w:tr>
      <w:tr w14:paraId="3A0F8CC3">
        <w:tblPrEx>
          <w:tblCellMar>
            <w:top w:w="0" w:type="dxa"/>
            <w:left w:w="108" w:type="dxa"/>
            <w:bottom w:w="0" w:type="dxa"/>
            <w:right w:w="108" w:type="dxa"/>
          </w:tblCellMar>
        </w:tblPrEx>
        <w:trPr>
          <w:trHeight w:val="9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DC571">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259D7">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培训管理</w:t>
            </w:r>
          </w:p>
        </w:tc>
        <w:tc>
          <w:tcPr>
            <w:tcW w:w="45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D55A7">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用于管理企业的培训活动。</w:t>
            </w:r>
          </w:p>
          <w:p w14:paraId="7FB6D96D">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系统应提供培训预约、培训记录、培训签到、培训资料管理相关功能。</w:t>
            </w:r>
          </w:p>
        </w:tc>
        <w:tc>
          <w:tcPr>
            <w:tcW w:w="2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80491">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提供统一管理培训资料的能力。</w:t>
            </w:r>
          </w:p>
          <w:p w14:paraId="6853B498">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提供培训统计分析的能力，为优化培训频次、培训课程内容等提供数据支持。</w:t>
            </w:r>
          </w:p>
        </w:tc>
      </w:tr>
    </w:tbl>
    <w:p w14:paraId="37038251">
      <w:pPr>
        <w:pStyle w:val="4"/>
        <w:ind w:firstLine="602"/>
        <w:rPr>
          <w:rFonts w:hint="eastAsia"/>
          <w:b/>
          <w:bCs/>
          <w:u w:val="single"/>
        </w:rPr>
      </w:pPr>
    </w:p>
    <w:p w14:paraId="5660E5CD">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u w:val="single"/>
        </w:rPr>
        <w:t>经营统计分析功能</w:t>
      </w:r>
    </w:p>
    <w:p w14:paraId="4D8578D1">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平台需要具备经营统计分析的能力。造价咨询企业通过管理数字化转型积累的经营管理数据，要通过经营统计分析发掘其价值，最终实现企业运营的</w:t>
      </w:r>
      <w:r>
        <w:rPr>
          <w:rFonts w:hint="eastAsia" w:ascii="仿宋_GB2312" w:hAnsi="仿宋_GB2312" w:eastAsia="仿宋_GB2312" w:cs="仿宋_GB2312"/>
          <w:color w:val="auto"/>
          <w:sz w:val="32"/>
          <w:szCs w:val="32"/>
        </w:rPr>
        <w:t>精</w:t>
      </w:r>
      <w:r>
        <w:rPr>
          <w:rFonts w:hint="eastAsia" w:ascii="仿宋_GB2312" w:hAnsi="仿宋_GB2312" w:eastAsia="仿宋_GB2312" w:cs="仿宋_GB2312"/>
          <w:color w:val="auto"/>
          <w:sz w:val="32"/>
          <w:szCs w:val="32"/>
          <w:lang w:val="en-US" w:eastAsia="zh-CN"/>
        </w:rPr>
        <w:t>细</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sz w:val="32"/>
          <w:szCs w:val="32"/>
        </w:rPr>
        <w:t>。</w:t>
      </w:r>
    </w:p>
    <w:p w14:paraId="25DC2BD0">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经营统计分析功能，应提供结构化分析、时间序列分析、同比分析等多种分析模式；还应提供无限下钻到最后详情数据清单的能力。</w:t>
      </w:r>
    </w:p>
    <w:tbl>
      <w:tblPr>
        <w:tblStyle w:val="18"/>
        <w:tblW w:w="5000" w:type="pct"/>
        <w:tblInd w:w="0" w:type="dxa"/>
        <w:tblLayout w:type="fixed"/>
        <w:tblCellMar>
          <w:top w:w="0" w:type="dxa"/>
          <w:left w:w="108" w:type="dxa"/>
          <w:bottom w:w="0" w:type="dxa"/>
          <w:right w:w="108" w:type="dxa"/>
        </w:tblCellMar>
      </w:tblPr>
      <w:tblGrid>
        <w:gridCol w:w="619"/>
        <w:gridCol w:w="1548"/>
        <w:gridCol w:w="4404"/>
        <w:gridCol w:w="1951"/>
      </w:tblGrid>
      <w:tr w14:paraId="14F6BCAB">
        <w:tblPrEx>
          <w:tblCellMar>
            <w:top w:w="0" w:type="dxa"/>
            <w:left w:w="108" w:type="dxa"/>
            <w:bottom w:w="0" w:type="dxa"/>
            <w:right w:w="108" w:type="dxa"/>
          </w:tblCellMar>
        </w:tblPrEx>
        <w:trPr>
          <w:trHeight w:val="433"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6A37F">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72859">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功能名称</w:t>
            </w:r>
          </w:p>
        </w:tc>
        <w:tc>
          <w:tcPr>
            <w:tcW w:w="4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53E24">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功能描述</w:t>
            </w:r>
          </w:p>
        </w:tc>
        <w:tc>
          <w:tcPr>
            <w:tcW w:w="1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A559B">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目标</w:t>
            </w:r>
          </w:p>
        </w:tc>
      </w:tr>
      <w:tr w14:paraId="6A71F361">
        <w:tblPrEx>
          <w:tblCellMar>
            <w:top w:w="0" w:type="dxa"/>
            <w:left w:w="108" w:type="dxa"/>
            <w:bottom w:w="0" w:type="dxa"/>
            <w:right w:w="108" w:type="dxa"/>
          </w:tblCellMar>
        </w:tblPrEx>
        <w:trPr>
          <w:trHeight w:val="71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C1393">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C3E57">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经营情况分析</w:t>
            </w:r>
          </w:p>
        </w:tc>
        <w:tc>
          <w:tcPr>
            <w:tcW w:w="4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6838F">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系统应提供业务发展指标、项目承接指标、发票开具指标、收款到账指标、成本支出指标等分析内容。</w:t>
            </w:r>
          </w:p>
          <w:p w14:paraId="46C3865A">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经营情况分析应提供按照组织架构的结构化分析能力。</w:t>
            </w:r>
          </w:p>
        </w:tc>
        <w:tc>
          <w:tcPr>
            <w:tcW w:w="1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8F595">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为精</w:t>
            </w:r>
            <w:r>
              <w:rPr>
                <w:rFonts w:hint="eastAsia" w:ascii="仿宋_GB2312" w:hAnsi="仿宋_GB2312" w:eastAsia="仿宋_GB2312" w:cs="仿宋_GB2312"/>
                <w:color w:val="000000"/>
                <w:kern w:val="0"/>
                <w:sz w:val="24"/>
                <w:szCs w:val="24"/>
                <w:lang w:val="en-US" w:eastAsia="zh-CN"/>
              </w:rPr>
              <w:t>细</w:t>
            </w:r>
            <w:r>
              <w:rPr>
                <w:rFonts w:hint="eastAsia" w:ascii="仿宋_GB2312" w:hAnsi="仿宋_GB2312" w:eastAsia="仿宋_GB2312" w:cs="仿宋_GB2312"/>
                <w:color w:val="000000"/>
                <w:kern w:val="0"/>
                <w:sz w:val="24"/>
                <w:szCs w:val="24"/>
              </w:rPr>
              <w:t>管理提供指标化的数据支撑。</w:t>
            </w:r>
          </w:p>
        </w:tc>
      </w:tr>
      <w:tr w14:paraId="70B283DC">
        <w:tblPrEx>
          <w:tblCellMar>
            <w:top w:w="0" w:type="dxa"/>
            <w:left w:w="108" w:type="dxa"/>
            <w:bottom w:w="0" w:type="dxa"/>
            <w:right w:w="108" w:type="dxa"/>
          </w:tblCellMar>
        </w:tblPrEx>
        <w:trPr>
          <w:trHeight w:val="9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0E965">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77442">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造价报告分析</w:t>
            </w:r>
          </w:p>
        </w:tc>
        <w:tc>
          <w:tcPr>
            <w:tcW w:w="4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A19F5">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系统应提供造价咨询报告的统计分析功能，其分析结构除了按照组织架构、造价师、工程项目业态、项目类型（如：总包、专业分包等）、造价类型（如：</w:t>
            </w:r>
            <w:r>
              <w:rPr>
                <w:rFonts w:hint="eastAsia" w:ascii="仿宋_GB2312" w:hAnsi="仿宋_GB2312" w:eastAsia="仿宋_GB2312" w:cs="仿宋_GB2312"/>
                <w:color w:val="000000"/>
                <w:kern w:val="0"/>
                <w:sz w:val="24"/>
                <w:szCs w:val="24"/>
                <w:lang w:val="en-US" w:eastAsia="zh-CN"/>
              </w:rPr>
              <w:t>估算、概算、</w:t>
            </w:r>
            <w:r>
              <w:rPr>
                <w:rFonts w:hint="eastAsia" w:ascii="仿宋_GB2312" w:hAnsi="仿宋_GB2312" w:eastAsia="仿宋_GB2312" w:cs="仿宋_GB2312"/>
                <w:color w:val="000000"/>
                <w:kern w:val="0"/>
                <w:sz w:val="24"/>
                <w:szCs w:val="24"/>
              </w:rPr>
              <w:t>预算、结算、</w:t>
            </w:r>
            <w:r>
              <w:rPr>
                <w:rFonts w:hint="eastAsia" w:ascii="仿宋_GB2312" w:hAnsi="仿宋_GB2312" w:eastAsia="仿宋_GB2312" w:cs="仿宋_GB2312"/>
                <w:color w:val="000000"/>
                <w:kern w:val="0"/>
                <w:sz w:val="24"/>
                <w:szCs w:val="24"/>
                <w:lang w:val="en-US" w:eastAsia="zh-CN"/>
              </w:rPr>
              <w:t>其他</w:t>
            </w:r>
            <w:r>
              <w:rPr>
                <w:rFonts w:hint="eastAsia" w:ascii="仿宋_GB2312" w:hAnsi="仿宋_GB2312" w:eastAsia="仿宋_GB2312" w:cs="仿宋_GB2312"/>
                <w:color w:val="000000"/>
                <w:kern w:val="0"/>
                <w:sz w:val="24"/>
                <w:szCs w:val="24"/>
              </w:rPr>
              <w:t>咨询等）及报告出具阶段进行结构化分析。</w:t>
            </w:r>
          </w:p>
          <w:p w14:paraId="6C1597F9">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统计分析功能应提供上述分析结构的筛选能力。</w:t>
            </w:r>
          </w:p>
        </w:tc>
        <w:tc>
          <w:tcPr>
            <w:tcW w:w="1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45807">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为企业业务的精</w:t>
            </w:r>
            <w:r>
              <w:rPr>
                <w:rFonts w:hint="eastAsia" w:ascii="仿宋_GB2312" w:hAnsi="仿宋_GB2312" w:eastAsia="仿宋_GB2312" w:cs="仿宋_GB2312"/>
                <w:color w:val="000000"/>
                <w:kern w:val="0"/>
                <w:sz w:val="24"/>
                <w:szCs w:val="24"/>
                <w:lang w:val="en-US" w:eastAsia="zh-CN"/>
              </w:rPr>
              <w:t>细</w:t>
            </w:r>
            <w:r>
              <w:rPr>
                <w:rFonts w:hint="eastAsia" w:ascii="仿宋_GB2312" w:hAnsi="仿宋_GB2312" w:eastAsia="仿宋_GB2312" w:cs="仿宋_GB2312"/>
                <w:color w:val="000000"/>
                <w:kern w:val="0"/>
                <w:sz w:val="24"/>
                <w:szCs w:val="24"/>
              </w:rPr>
              <w:t>管理提供指标化数据支撑。</w:t>
            </w:r>
          </w:p>
        </w:tc>
      </w:tr>
      <w:tr w14:paraId="32CA414F">
        <w:tblPrEx>
          <w:tblCellMar>
            <w:top w:w="0" w:type="dxa"/>
            <w:left w:w="108" w:type="dxa"/>
            <w:bottom w:w="0" w:type="dxa"/>
            <w:right w:w="108" w:type="dxa"/>
          </w:tblCellMar>
        </w:tblPrEx>
        <w:trPr>
          <w:trHeight w:val="9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FED9E">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2267D">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归档情况分析</w:t>
            </w:r>
          </w:p>
        </w:tc>
        <w:tc>
          <w:tcPr>
            <w:tcW w:w="4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FAEC6">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系统应提供资料归档情况统计分析功能，至少按照组织架构、人员、时间进行结构化分析。</w:t>
            </w:r>
          </w:p>
          <w:p w14:paraId="334A3F98">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在必要的情况下，可以通过归档情况分析数据支撑下提供档案催缴功能。</w:t>
            </w:r>
          </w:p>
        </w:tc>
        <w:tc>
          <w:tcPr>
            <w:tcW w:w="1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1F93A">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为档案管理提供指标化数据支撑。其管理目标可以设定为30天内归档率达到100%。</w:t>
            </w:r>
          </w:p>
        </w:tc>
      </w:tr>
      <w:tr w14:paraId="02EF9BDC">
        <w:tblPrEx>
          <w:tblCellMar>
            <w:top w:w="0" w:type="dxa"/>
            <w:left w:w="108" w:type="dxa"/>
            <w:bottom w:w="0" w:type="dxa"/>
            <w:right w:w="108" w:type="dxa"/>
          </w:tblCellMar>
        </w:tblPrEx>
        <w:trPr>
          <w:trHeight w:val="9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4C4F1">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31780">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投标结果分析</w:t>
            </w:r>
          </w:p>
        </w:tc>
        <w:tc>
          <w:tcPr>
            <w:tcW w:w="4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1B98D">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系统应提供基于投标活动数据按照组织结构、时间结构、业务类型结构、客户类型结构、工程项目业态、项目类型、造价类型、投标类型（入围、报价）、投标结果（中标、未中标）、评分方式等结构分析。</w:t>
            </w:r>
          </w:p>
        </w:tc>
        <w:tc>
          <w:tcPr>
            <w:tcW w:w="1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24CBE">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为市场竞争活动</w:t>
            </w:r>
            <w:r>
              <w:rPr>
                <w:rFonts w:hint="eastAsia" w:ascii="仿宋_GB2312" w:hAnsi="仿宋_GB2312" w:eastAsia="仿宋_GB2312" w:cs="仿宋_GB2312"/>
                <w:color w:val="000000"/>
                <w:kern w:val="0"/>
                <w:sz w:val="24"/>
                <w:szCs w:val="24"/>
                <w:lang w:eastAsia="zh-CN"/>
              </w:rPr>
              <w:t>提供</w:t>
            </w:r>
            <w:r>
              <w:rPr>
                <w:rFonts w:hint="eastAsia" w:ascii="仿宋_GB2312" w:hAnsi="仿宋_GB2312" w:eastAsia="仿宋_GB2312" w:cs="仿宋_GB2312"/>
                <w:color w:val="000000"/>
                <w:kern w:val="0"/>
                <w:sz w:val="24"/>
                <w:szCs w:val="24"/>
              </w:rPr>
              <w:t>指标化的数据支撑。其管理目标在于在不同细分条件下提升中标率。为分阶段、分时期制定商业竞争方案提供指标化数据支撑。</w:t>
            </w:r>
          </w:p>
        </w:tc>
      </w:tr>
      <w:tr w14:paraId="722658E5">
        <w:tblPrEx>
          <w:tblCellMar>
            <w:top w:w="0" w:type="dxa"/>
            <w:left w:w="108" w:type="dxa"/>
            <w:bottom w:w="0" w:type="dxa"/>
            <w:right w:w="108" w:type="dxa"/>
          </w:tblCellMar>
        </w:tblPrEx>
        <w:trPr>
          <w:trHeight w:val="9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A8F17">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A829C">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人员结构分析</w:t>
            </w:r>
          </w:p>
        </w:tc>
        <w:tc>
          <w:tcPr>
            <w:tcW w:w="4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D0F1F">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系统应提供按照组织结构、时间序列、年龄结构、司龄结构、性别结构、学历结构、资质结构、职级结构、岗位结构的统计分析。</w:t>
            </w:r>
          </w:p>
        </w:tc>
        <w:tc>
          <w:tcPr>
            <w:tcW w:w="1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DA2DA">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为人力资源管理提供指标化数据支撑。其管理目标在于找到企业经营最具活力的人力资源结构。</w:t>
            </w:r>
          </w:p>
        </w:tc>
      </w:tr>
    </w:tbl>
    <w:p w14:paraId="6ED3CC40">
      <w:pPr>
        <w:pStyle w:val="6"/>
        <w:pageBreakBefore w:val="0"/>
        <w:widowControl w:val="0"/>
        <w:kinsoku/>
        <w:wordWrap/>
        <w:overflowPunct/>
        <w:topLinePunct w:val="0"/>
        <w:autoSpaceDE/>
        <w:autoSpaceDN/>
        <w:bidi w:val="0"/>
        <w:spacing w:line="560" w:lineRule="exact"/>
        <w:ind w:left="0" w:lef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“高质量、可信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数据管理体系的建设</w:t>
      </w:r>
    </w:p>
    <w:p w14:paraId="668E852A">
      <w:pPr>
        <w:pStyle w:val="4"/>
        <w:pageBreakBefore w:val="0"/>
        <w:widowControl w:val="0"/>
        <w:kinsoku/>
        <w:wordWrap/>
        <w:overflowPunct/>
        <w:topLinePunct w:val="0"/>
        <w:autoSpaceDE/>
        <w:autoSpaceDN/>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“高质量、可信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数据管理体系，是造价咨询企业管理数字化转型的</w:t>
      </w:r>
      <w:r>
        <w:rPr>
          <w:rFonts w:hint="eastAsia" w:ascii="仿宋_GB2312" w:hAnsi="仿宋_GB2312" w:eastAsia="仿宋_GB2312" w:cs="仿宋_GB2312"/>
          <w:color w:val="auto"/>
          <w:sz w:val="32"/>
          <w:szCs w:val="32"/>
          <w:lang w:val="en-US" w:eastAsia="zh-CN"/>
        </w:rPr>
        <w:t>关键</w:t>
      </w:r>
      <w:r>
        <w:rPr>
          <w:rFonts w:hint="eastAsia" w:ascii="仿宋_GB2312" w:hAnsi="仿宋_GB2312" w:eastAsia="仿宋_GB2312" w:cs="仿宋_GB2312"/>
          <w:color w:val="auto"/>
          <w:sz w:val="32"/>
          <w:szCs w:val="32"/>
        </w:rPr>
        <w:t>目标，也是逐步实现“数字赋能业态”、迈向业务数字化转型的基石。</w:t>
      </w:r>
      <w:r>
        <w:rPr>
          <w:rFonts w:hint="eastAsia" w:ascii="仿宋_GB2312" w:hAnsi="仿宋_GB2312" w:eastAsia="仿宋_GB2312" w:cs="仿宋_GB2312"/>
          <w:color w:val="auto"/>
          <w:sz w:val="32"/>
          <w:szCs w:val="32"/>
          <w:lang w:val="en-US" w:eastAsia="zh-CN"/>
        </w:rPr>
        <w:t>造价咨询企业实施“高质量、可信”数据管理的过程，既是自身积累关键数据资源、数据资产的过程，也是推动企业相互之间“数据换数据”实现“数据生价值”的基础。要使“高质量、可信”数据得到有效管理，就要在实施过程中安排具有数据治理、数据分析思维能力的专职团队来负责该项工作。</w:t>
      </w:r>
    </w:p>
    <w:p w14:paraId="69DC1B98">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信息处理角度来看，造价咨询服务的开展过程，就是提升数据质量和可信度的过程。“高质量、可信”数据，强调的是数据的使用价值高和数据来源的可追溯。因此，并不需要强调数据规模的“大”。也就是说，造价咨询企业在日常经营管理过程中，应该将提升企业所管理数据的“高质量”和“可信”程度作为首要任务，产生的这些“高质量、可信”数据在后续咨询服务过程中可以极大的提升工作效率和质量。</w:t>
      </w:r>
    </w:p>
    <w:p w14:paraId="1F2EC037">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可以纳入“高质量、可信”数据管理</w:t>
      </w:r>
      <w:r>
        <w:rPr>
          <w:rFonts w:hint="eastAsia" w:ascii="仿宋_GB2312" w:hAnsi="仿宋_GB2312" w:eastAsia="仿宋_GB2312" w:cs="仿宋_GB2312"/>
          <w:color w:val="auto"/>
          <w:sz w:val="32"/>
          <w:szCs w:val="32"/>
        </w:rPr>
        <w:t>范围</w:t>
      </w:r>
      <w:r>
        <w:rPr>
          <w:rFonts w:hint="eastAsia" w:ascii="仿宋_GB2312" w:hAnsi="仿宋_GB2312" w:eastAsia="仿宋_GB2312" w:cs="仿宋_GB2312"/>
          <w:color w:val="auto"/>
          <w:sz w:val="32"/>
          <w:szCs w:val="32"/>
          <w:lang w:val="en-US" w:eastAsia="zh-CN"/>
        </w:rPr>
        <w:t>的数据</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color w:val="auto"/>
          <w:sz w:val="32"/>
          <w:szCs w:val="32"/>
          <w:lang w:val="en-US" w:eastAsia="zh-CN"/>
        </w:rPr>
        <w:t>建设项目基础信息、</w:t>
      </w:r>
      <w:r>
        <w:rPr>
          <w:rFonts w:hint="eastAsia" w:ascii="仿宋_GB2312" w:hAnsi="仿宋_GB2312" w:eastAsia="仿宋_GB2312" w:cs="仿宋_GB2312"/>
          <w:color w:val="auto"/>
          <w:sz w:val="32"/>
          <w:szCs w:val="32"/>
        </w:rPr>
        <w:t>业务</w:t>
      </w:r>
      <w:r>
        <w:rPr>
          <w:rFonts w:hint="eastAsia" w:ascii="仿宋_GB2312" w:hAnsi="仿宋_GB2312" w:eastAsia="仿宋_GB2312" w:cs="仿宋_GB2312"/>
          <w:color w:val="auto"/>
          <w:sz w:val="32"/>
          <w:szCs w:val="32"/>
          <w:lang w:val="en-US" w:eastAsia="zh-CN"/>
        </w:rPr>
        <w:t>承做信息</w:t>
      </w:r>
      <w:r>
        <w:rPr>
          <w:rFonts w:hint="eastAsia" w:ascii="仿宋_GB2312" w:hAnsi="仿宋_GB2312" w:eastAsia="仿宋_GB2312" w:cs="仿宋_GB2312"/>
          <w:color w:val="auto"/>
          <w:sz w:val="32"/>
          <w:szCs w:val="32"/>
        </w:rPr>
        <w:t>、工程量清单数据、设备材料价格</w:t>
      </w:r>
      <w:r>
        <w:rPr>
          <w:rFonts w:hint="eastAsia" w:ascii="仿宋_GB2312" w:hAnsi="仿宋_GB2312" w:eastAsia="仿宋_GB2312" w:cs="仿宋_GB2312"/>
          <w:sz w:val="32"/>
          <w:szCs w:val="32"/>
        </w:rPr>
        <w:t>数据、消耗量数据、知识目录、质控清单、政策法规</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3B1D2888">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u w:val="single"/>
        </w:rPr>
      </w:pPr>
      <w:r>
        <w:rPr>
          <w:rFonts w:hint="eastAsia" w:ascii="仿宋_GB2312" w:hAnsi="仿宋_GB2312" w:eastAsia="仿宋_GB2312" w:cs="仿宋_GB2312"/>
          <w:color w:val="auto"/>
          <w:sz w:val="32"/>
          <w:szCs w:val="32"/>
          <w:lang w:val="en-US" w:eastAsia="zh-CN"/>
        </w:rPr>
        <w:t>在管理过程中需要处理的</w:t>
      </w:r>
      <w:r>
        <w:rPr>
          <w:rFonts w:hint="eastAsia" w:ascii="仿宋_GB2312" w:hAnsi="仿宋_GB2312" w:eastAsia="仿宋_GB2312" w:cs="仿宋_GB2312"/>
          <w:color w:val="auto"/>
          <w:sz w:val="32"/>
          <w:szCs w:val="32"/>
        </w:rPr>
        <w:t>数据类型包括：</w:t>
      </w:r>
      <w:r>
        <w:rPr>
          <w:rFonts w:hint="eastAsia" w:ascii="仿宋_GB2312" w:hAnsi="仿宋_GB2312" w:eastAsia="仿宋_GB2312" w:cs="仿宋_GB2312"/>
          <w:sz w:val="32"/>
          <w:szCs w:val="32"/>
        </w:rPr>
        <w:t>结构化数据和非结构化数据，非结构化数据又分为文本数据和多媒体数据。</w:t>
      </w:r>
    </w:p>
    <w:p w14:paraId="48E13A02">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b/>
          <w:bCs/>
          <w:sz w:val="32"/>
          <w:szCs w:val="32"/>
          <w:u w:val="single"/>
        </w:rPr>
      </w:pPr>
      <w:r>
        <w:rPr>
          <w:rFonts w:hint="eastAsia" w:ascii="仿宋_GB2312" w:hAnsi="仿宋_GB2312" w:eastAsia="仿宋_GB2312" w:cs="仿宋_GB2312"/>
          <w:sz w:val="32"/>
          <w:szCs w:val="32"/>
        </w:rPr>
        <w:t>为了方便造价咨询企业开展相关工作，明确数据管理体系建设的工作方向，参考数据治理成熟度模型，将“高质量、可信数据体系”分为受管理、可定义、可量化、持续优化四个层级。</w:t>
      </w:r>
    </w:p>
    <w:p w14:paraId="33CF94CE">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rPr>
        <w:t>受管理</w:t>
      </w:r>
      <w:r>
        <w:rPr>
          <w:rFonts w:hint="eastAsia" w:ascii="仿宋_GB2312" w:hAnsi="仿宋_GB2312" w:eastAsia="仿宋_GB2312" w:cs="仿宋_GB2312"/>
          <w:b/>
          <w:bCs/>
          <w:sz w:val="32"/>
          <w:szCs w:val="32"/>
          <w:u w:val="single"/>
          <w:lang w:val="en-US" w:eastAsia="zh-CN"/>
        </w:rPr>
        <w:t>级</w:t>
      </w:r>
    </w:p>
    <w:p w14:paraId="6BAEBCD6">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b/>
          <w:bCs/>
          <w:color w:val="00B050"/>
          <w:sz w:val="32"/>
          <w:szCs w:val="32"/>
          <w:u w:val="single"/>
        </w:rPr>
      </w:pPr>
      <w:r>
        <w:rPr>
          <w:rFonts w:hint="eastAsia" w:ascii="仿宋_GB2312" w:hAnsi="仿宋_GB2312" w:eastAsia="仿宋_GB2312" w:cs="仿宋_GB2312"/>
          <w:b/>
          <w:bCs/>
          <w:sz w:val="32"/>
          <w:szCs w:val="32"/>
        </w:rPr>
        <w:t>定义：</w:t>
      </w:r>
      <w:r>
        <w:rPr>
          <w:rFonts w:hint="eastAsia" w:ascii="仿宋_GB2312" w:hAnsi="仿宋_GB2312" w:eastAsia="仿宋_GB2312" w:cs="仿宋_GB2312"/>
          <w:sz w:val="32"/>
          <w:szCs w:val="32"/>
        </w:rPr>
        <w:t>企业初步建立了数据管理的相关流程和制度，有专人负责数据管理工作，但数据管理活动仍较为分散，缺乏整体的协调和统一规划，数据质量和安全有一定保障，但仍需进一步提高。</w:t>
      </w:r>
      <w:r>
        <w:rPr>
          <w:rFonts w:hint="eastAsia" w:ascii="仿宋_GB2312" w:hAnsi="仿宋_GB2312" w:eastAsia="仿宋_GB2312" w:cs="仿宋_GB2312"/>
          <w:color w:val="auto"/>
          <w:sz w:val="32"/>
          <w:szCs w:val="32"/>
          <w:u w:val="none"/>
        </w:rPr>
        <w:t>“受管理”，就是指企业将数据纳入了统一管理的范畴。</w:t>
      </w:r>
    </w:p>
    <w:p w14:paraId="3737D1E1">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u w:val="none"/>
        </w:rPr>
        <w:t>受管理层级的标志性成果：</w:t>
      </w:r>
      <w:r>
        <w:rPr>
          <w:rFonts w:hint="eastAsia" w:ascii="仿宋_GB2312" w:hAnsi="仿宋_GB2312" w:eastAsia="仿宋_GB2312" w:cs="仿宋_GB2312"/>
          <w:sz w:val="32"/>
          <w:szCs w:val="32"/>
        </w:rPr>
        <w:t>造价咨询项目管理信息系统全面应用，三级审核、报告出具均在线管理。</w:t>
      </w:r>
    </w:p>
    <w:p w14:paraId="34EB7F0E">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rPr>
        <w:t>可定义</w:t>
      </w:r>
      <w:r>
        <w:rPr>
          <w:rFonts w:hint="eastAsia" w:ascii="仿宋_GB2312" w:hAnsi="仿宋_GB2312" w:eastAsia="仿宋_GB2312" w:cs="仿宋_GB2312"/>
          <w:b/>
          <w:bCs/>
          <w:sz w:val="32"/>
          <w:szCs w:val="32"/>
          <w:u w:val="single"/>
          <w:lang w:val="en-US" w:eastAsia="zh-CN"/>
        </w:rPr>
        <w:t>级</w:t>
      </w:r>
    </w:p>
    <w:p w14:paraId="78FBF2C4">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定义：</w:t>
      </w:r>
      <w:r>
        <w:rPr>
          <w:rFonts w:hint="eastAsia" w:ascii="仿宋_GB2312" w:hAnsi="仿宋_GB2312" w:eastAsia="仿宋_GB2312" w:cs="仿宋_GB2312"/>
          <w:sz w:val="32"/>
          <w:szCs w:val="32"/>
        </w:rPr>
        <w:t>对数据质量有明确的定义，对数据的价值有清楚</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认识，有数据治理组织架构、数据管理流程和规范等，数据质量和安全管理得到加强，数据开始在企业内得到有效共享和利用。</w:t>
      </w:r>
    </w:p>
    <w:p w14:paraId="055F1E10">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u w:val="none"/>
        </w:rPr>
        <w:t>可定义层级的</w:t>
      </w:r>
      <w:r>
        <w:rPr>
          <w:rFonts w:hint="eastAsia" w:ascii="仿宋_GB2312" w:hAnsi="仿宋_GB2312" w:eastAsia="仿宋_GB2312" w:cs="仿宋_GB2312"/>
          <w:b/>
          <w:bCs/>
          <w:sz w:val="32"/>
          <w:szCs w:val="32"/>
        </w:rPr>
        <w:t>标志性成果：</w:t>
      </w:r>
      <w:r>
        <w:rPr>
          <w:rFonts w:hint="eastAsia" w:ascii="仿宋_GB2312" w:hAnsi="仿宋_GB2312" w:eastAsia="仿宋_GB2312" w:cs="仿宋_GB2312"/>
          <w:sz w:val="32"/>
          <w:szCs w:val="32"/>
        </w:rPr>
        <w:t>建立数据资源目录，制定数据资源管理制度，应用了工程量清单数据库、工程造价指标数据库、工料机数据库、企业定额库。</w:t>
      </w:r>
    </w:p>
    <w:p w14:paraId="00B4592F">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rPr>
        <w:t>可量化</w:t>
      </w:r>
      <w:r>
        <w:rPr>
          <w:rFonts w:hint="eastAsia" w:ascii="仿宋_GB2312" w:hAnsi="仿宋_GB2312" w:eastAsia="仿宋_GB2312" w:cs="仿宋_GB2312"/>
          <w:b/>
          <w:bCs/>
          <w:sz w:val="32"/>
          <w:szCs w:val="32"/>
          <w:u w:val="single"/>
          <w:lang w:val="en-US" w:eastAsia="zh-CN"/>
        </w:rPr>
        <w:t>级</w:t>
      </w:r>
    </w:p>
    <w:p w14:paraId="62F13662">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定义：</w:t>
      </w:r>
      <w:r>
        <w:rPr>
          <w:rFonts w:hint="eastAsia" w:ascii="仿宋_GB2312" w:hAnsi="仿宋_GB2312" w:eastAsia="仿宋_GB2312" w:cs="仿宋_GB2312"/>
          <w:sz w:val="32"/>
          <w:szCs w:val="32"/>
        </w:rPr>
        <w:t>企业能够对数据管理的各项活动进行量化评估和管理，通过数据指标来衡量数据管理的效果，并根据评估结果进行持续改进，数据质量和安全得到严格控制，数据资产能够为组织带来显著的价值。</w:t>
      </w:r>
    </w:p>
    <w:p w14:paraId="3C5A6830">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u w:val="none"/>
        </w:rPr>
        <w:t>可量化层级的</w:t>
      </w:r>
      <w:r>
        <w:rPr>
          <w:rFonts w:hint="eastAsia" w:ascii="仿宋_GB2312" w:hAnsi="仿宋_GB2312" w:eastAsia="仿宋_GB2312" w:cs="仿宋_GB2312"/>
          <w:b/>
          <w:bCs/>
          <w:sz w:val="32"/>
          <w:szCs w:val="32"/>
        </w:rPr>
        <w:t>标志性成果：</w:t>
      </w:r>
      <w:r>
        <w:rPr>
          <w:rFonts w:hint="eastAsia" w:ascii="仿宋_GB2312" w:hAnsi="仿宋_GB2312" w:eastAsia="仿宋_GB2312" w:cs="仿宋_GB2312"/>
          <w:b w:val="0"/>
          <w:bCs w:val="0"/>
          <w:color w:val="auto"/>
          <w:sz w:val="32"/>
          <w:szCs w:val="32"/>
          <w:lang w:val="en-US" w:eastAsia="zh-CN"/>
        </w:rPr>
        <w:t>建立了</w:t>
      </w:r>
      <w:r>
        <w:rPr>
          <w:rFonts w:hint="eastAsia" w:ascii="仿宋_GB2312" w:hAnsi="仿宋_GB2312" w:eastAsia="仿宋_GB2312" w:cs="仿宋_GB2312"/>
          <w:color w:val="auto"/>
          <w:sz w:val="32"/>
          <w:szCs w:val="32"/>
        </w:rPr>
        <w:t>数据资源使用效果评价指标，能持续半年以上的评价跟踪。</w:t>
      </w:r>
    </w:p>
    <w:p w14:paraId="07775532">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rPr>
        <w:t>持续优化</w:t>
      </w:r>
      <w:r>
        <w:rPr>
          <w:rFonts w:hint="eastAsia" w:ascii="仿宋_GB2312" w:hAnsi="仿宋_GB2312" w:eastAsia="仿宋_GB2312" w:cs="仿宋_GB2312"/>
          <w:b/>
          <w:bCs/>
          <w:sz w:val="32"/>
          <w:szCs w:val="32"/>
          <w:u w:val="single"/>
          <w:lang w:val="en-US" w:eastAsia="zh-CN"/>
        </w:rPr>
        <w:t>级</w:t>
      </w:r>
    </w:p>
    <w:p w14:paraId="7A754346">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定义：</w:t>
      </w:r>
      <w:r>
        <w:rPr>
          <w:rFonts w:hint="eastAsia" w:ascii="仿宋_GB2312" w:hAnsi="仿宋_GB2312" w:eastAsia="仿宋_GB2312" w:cs="仿宋_GB2312"/>
          <w:sz w:val="32"/>
          <w:szCs w:val="32"/>
        </w:rPr>
        <w:t>数据管理成为企业的核心竞争力之一，企业能够持续优化数据治理体系，不断创新数据管理方法和技术，适应业务的快速变化和发展，数据能够在组织内外得到高效共享和利用，为组织创造巨大的商业价值。</w:t>
      </w:r>
    </w:p>
    <w:p w14:paraId="22B1419B">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u w:val="none"/>
        </w:rPr>
        <w:t>持续优化层级的</w:t>
      </w:r>
      <w:r>
        <w:rPr>
          <w:rFonts w:hint="eastAsia" w:ascii="仿宋_GB2312" w:hAnsi="仿宋_GB2312" w:eastAsia="仿宋_GB2312" w:cs="仿宋_GB2312"/>
          <w:b/>
          <w:bCs/>
          <w:sz w:val="32"/>
          <w:szCs w:val="32"/>
        </w:rPr>
        <w:t>标志性成果：</w:t>
      </w:r>
      <w:r>
        <w:rPr>
          <w:rFonts w:hint="eastAsia" w:ascii="仿宋_GB2312" w:hAnsi="仿宋_GB2312" w:eastAsia="仿宋_GB2312" w:cs="仿宋_GB2312"/>
          <w:color w:val="auto"/>
          <w:sz w:val="32"/>
          <w:szCs w:val="32"/>
        </w:rPr>
        <w:t>可相对独立地承接造价数据咨询服务业务，并可实现相应的咨询服务收入。</w:t>
      </w:r>
    </w:p>
    <w:p w14:paraId="1CB57F6E">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“高质量、可信数据”管理体系建设的具体实施路径可以围绕工程造价指标、工程量清单、材料设备数据库、企业定额库建设开展，逐步深化数据的管理和应用。</w:t>
      </w:r>
    </w:p>
    <w:p w14:paraId="62B26315">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建设工程造价指标数据库</w:t>
      </w:r>
    </w:p>
    <w:p w14:paraId="091761CB">
      <w:pPr>
        <w:pStyle w:val="4"/>
        <w:pageBreakBefore w:val="0"/>
        <w:widowControl w:val="0"/>
        <w:kinsoku/>
        <w:wordWrap/>
        <w:overflowPunct/>
        <w:topLinePunct w:val="0"/>
        <w:autoSpaceDE/>
        <w:autoSpaceDN/>
        <w:bidi w:val="0"/>
        <w:spacing w:line="560" w:lineRule="exact"/>
        <w:ind w:firstLine="600"/>
      </w:pPr>
      <w:r>
        <w:rPr>
          <w:rFonts w:hint="eastAsia" w:ascii="仿宋_GB2312" w:hAnsi="仿宋_GB2312" w:eastAsia="仿宋_GB2312" w:cs="仿宋_GB2312"/>
          <w:sz w:val="32"/>
          <w:szCs w:val="32"/>
        </w:rPr>
        <w:t>企业自建建设工程造价指标数据库的目标是为了将企业造价咨询业务成果（特别是典型项目的造价咨询成果）进行统一管理，同时为企业定额数据库、智能复核系统提供数据支持。</w:t>
      </w:r>
    </w:p>
    <w:tbl>
      <w:tblPr>
        <w:tblStyle w:val="18"/>
        <w:tblW w:w="4998" w:type="pct"/>
        <w:tblInd w:w="0" w:type="dxa"/>
        <w:tblLayout w:type="autofit"/>
        <w:tblCellMar>
          <w:top w:w="0" w:type="dxa"/>
          <w:left w:w="108" w:type="dxa"/>
          <w:bottom w:w="0" w:type="dxa"/>
          <w:right w:w="108" w:type="dxa"/>
        </w:tblCellMar>
      </w:tblPr>
      <w:tblGrid>
        <w:gridCol w:w="698"/>
        <w:gridCol w:w="1180"/>
        <w:gridCol w:w="4236"/>
        <w:gridCol w:w="2405"/>
      </w:tblGrid>
      <w:tr w14:paraId="5A301591">
        <w:tblPrEx>
          <w:tblCellMar>
            <w:top w:w="0" w:type="dxa"/>
            <w:left w:w="108" w:type="dxa"/>
            <w:bottom w:w="0" w:type="dxa"/>
            <w:right w:w="108" w:type="dxa"/>
          </w:tblCellMar>
        </w:tblPrEx>
        <w:trPr>
          <w:trHeight w:val="567" w:hRule="atLeast"/>
        </w:trPr>
        <w:tc>
          <w:tcPr>
            <w:tcW w:w="372" w:type="pc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18C24958">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序号</w:t>
            </w:r>
          </w:p>
        </w:tc>
        <w:tc>
          <w:tcPr>
            <w:tcW w:w="5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19325">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功能名称</w:t>
            </w:r>
          </w:p>
        </w:tc>
        <w:tc>
          <w:tcPr>
            <w:tcW w:w="2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8D715">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功能描述</w:t>
            </w:r>
          </w:p>
        </w:tc>
        <w:tc>
          <w:tcPr>
            <w:tcW w:w="1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02865">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目标</w:t>
            </w:r>
          </w:p>
        </w:tc>
      </w:tr>
      <w:tr w14:paraId="7A9B7F37">
        <w:tblPrEx>
          <w:tblCellMar>
            <w:top w:w="0" w:type="dxa"/>
            <w:left w:w="108" w:type="dxa"/>
            <w:bottom w:w="0" w:type="dxa"/>
            <w:right w:w="108" w:type="dxa"/>
          </w:tblCellMar>
        </w:tblPrEx>
        <w:trPr>
          <w:trHeight w:val="6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1FA81">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5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BD36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指标分析</w:t>
            </w:r>
          </w:p>
        </w:tc>
        <w:tc>
          <w:tcPr>
            <w:tcW w:w="25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C1F67">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通过多维度数据统计分析，深度挖掘造价指标内涵。支持按工程类型（房建、市政、公路等）、地域、时间、项目规模等维度，对造价指标数据进行分类汇总，生成可视化图表（如柱状图、折线图、饼图等）与分析报告，直观展示指标分布、趋势与占比关系。同时，运用统计学方法与行业经验模型，自动识别异常指标，剖析影响造价的关键因素，为造价管控提供决策依据。</w:t>
            </w:r>
          </w:p>
        </w:tc>
        <w:tc>
          <w:tcPr>
            <w:tcW w:w="1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03805">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lang w:val="en-US" w:eastAsia="zh-CN"/>
              </w:rPr>
              <w:t>针对不同计价</w:t>
            </w:r>
            <w:r>
              <w:rPr>
                <w:rFonts w:hint="eastAsia" w:ascii="仿宋_GB2312" w:hAnsi="仿宋_GB2312" w:eastAsia="仿宋_GB2312" w:cs="仿宋_GB2312"/>
                <w:color w:val="auto"/>
                <w:sz w:val="24"/>
                <w:szCs w:val="24"/>
              </w:rPr>
              <w:t>阶段，分析同类项目指标，快速确定项目</w:t>
            </w:r>
            <w:r>
              <w:rPr>
                <w:rFonts w:hint="eastAsia" w:ascii="仿宋_GB2312" w:hAnsi="仿宋_GB2312" w:eastAsia="仿宋_GB2312" w:cs="仿宋_GB2312"/>
                <w:color w:val="auto"/>
                <w:sz w:val="24"/>
                <w:szCs w:val="24"/>
                <w:lang w:val="en-US" w:eastAsia="zh-CN"/>
              </w:rPr>
              <w:t>处于相应阶段的</w:t>
            </w:r>
            <w:r>
              <w:rPr>
                <w:rFonts w:hint="eastAsia" w:ascii="仿宋_GB2312" w:hAnsi="仿宋_GB2312" w:eastAsia="仿宋_GB2312" w:cs="仿宋_GB2312"/>
                <w:color w:val="auto"/>
                <w:sz w:val="24"/>
                <w:szCs w:val="24"/>
              </w:rPr>
              <w:t>投资规模；定期分析历史项目指标，总结不同时期造价变化规律，辅助企业制定成本控制策略；为行业主管部门提供数据支持，助力其掌握区域造价动态，制定政策与标准。</w:t>
            </w:r>
          </w:p>
        </w:tc>
      </w:tr>
      <w:tr w14:paraId="693090FF">
        <w:tblPrEx>
          <w:tblCellMar>
            <w:top w:w="0" w:type="dxa"/>
            <w:left w:w="108" w:type="dxa"/>
            <w:bottom w:w="0" w:type="dxa"/>
            <w:right w:w="108" w:type="dxa"/>
          </w:tblCellMar>
        </w:tblPrEx>
        <w:trPr>
          <w:trHeight w:val="6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9C48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c>
          <w:tcPr>
            <w:tcW w:w="5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FBF21">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指标下钻</w:t>
            </w:r>
          </w:p>
        </w:tc>
        <w:tc>
          <w:tcPr>
            <w:tcW w:w="25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94CAE">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持从宏观到微观的层层细化展示。用户在查看整体造价指标时，可通过点击操作，逐步深入查看下一级详细数据。例如从项目总造价指标，下钻到单项工程、单位工程，再到分部、分项工程的造价指标，直至具体的人工、材料、机械费用及工程量等基础数据，实现对造价指标的深度溯源，清晰呈现指标构成逻辑。</w:t>
            </w:r>
          </w:p>
        </w:tc>
        <w:tc>
          <w:tcPr>
            <w:tcW w:w="1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D8A6D">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提供反查异常指标汇总逻辑的能力；提供便于审核中寻找到指标问题形成逻辑的能力；提供为项目管理查询基础</w:t>
            </w:r>
            <w:r>
              <w:rPr>
                <w:rFonts w:hint="eastAsia" w:ascii="仿宋_GB2312" w:hAnsi="仿宋_GB2312" w:eastAsia="仿宋_GB2312" w:cs="仿宋_GB2312"/>
                <w:color w:val="000000"/>
                <w:sz w:val="24"/>
                <w:szCs w:val="24"/>
                <w:lang w:eastAsia="zh-CN"/>
              </w:rPr>
              <w:t>数据</w:t>
            </w:r>
            <w:r>
              <w:rPr>
                <w:rFonts w:hint="eastAsia" w:ascii="仿宋_GB2312" w:hAnsi="仿宋_GB2312" w:eastAsia="仿宋_GB2312" w:cs="仿宋_GB2312"/>
                <w:color w:val="000000"/>
                <w:sz w:val="24"/>
                <w:szCs w:val="24"/>
              </w:rPr>
              <w:t>的能力，便于优化资源配置。</w:t>
            </w:r>
          </w:p>
        </w:tc>
      </w:tr>
      <w:tr w14:paraId="06259277">
        <w:tblPrEx>
          <w:tblCellMar>
            <w:top w:w="0" w:type="dxa"/>
            <w:left w:w="108" w:type="dxa"/>
            <w:bottom w:w="0" w:type="dxa"/>
            <w:right w:w="108" w:type="dxa"/>
          </w:tblCellMar>
        </w:tblPrEx>
        <w:trPr>
          <w:trHeight w:val="6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BC949">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5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41427">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指标对比</w:t>
            </w:r>
          </w:p>
        </w:tc>
        <w:tc>
          <w:tcPr>
            <w:tcW w:w="25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A72E9">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实现多组造价指标的横向与纵向对比。横向可对比不同项目、不同企业、不同地域的同类造价指标，展现差异；纵向可对比同一项目不同阶段（如估算、</w:t>
            </w:r>
            <w:r>
              <w:rPr>
                <w:rFonts w:hint="eastAsia" w:ascii="仿宋_GB2312" w:hAnsi="仿宋_GB2312" w:eastAsia="仿宋_GB2312" w:cs="仿宋_GB2312"/>
                <w:color w:val="000000"/>
                <w:sz w:val="24"/>
                <w:szCs w:val="24"/>
                <w:lang w:val="en-US" w:eastAsia="zh-CN"/>
              </w:rPr>
              <w:t>概算、</w:t>
            </w:r>
            <w:r>
              <w:rPr>
                <w:rFonts w:hint="eastAsia" w:ascii="仿宋_GB2312" w:hAnsi="仿宋_GB2312" w:eastAsia="仿宋_GB2312" w:cs="仿宋_GB2312"/>
                <w:color w:val="000000"/>
                <w:sz w:val="24"/>
                <w:szCs w:val="24"/>
              </w:rPr>
              <w:t>预算、结算阶段）的造价指标，反映变化趋势。同时，支持自定义对比条件与指标组合，生成对比分析报表，直观呈现对比结果，并对差异较大的指标进行预警与分析。</w:t>
            </w:r>
          </w:p>
        </w:tc>
        <w:tc>
          <w:tcPr>
            <w:tcW w:w="1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E44EB">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应用于检查工程量清单的合理性分析；应用于发现、识别建设工程的管理问题。</w:t>
            </w:r>
          </w:p>
        </w:tc>
      </w:tr>
      <w:tr w14:paraId="243E12C6">
        <w:tblPrEx>
          <w:tblCellMar>
            <w:top w:w="0" w:type="dxa"/>
            <w:left w:w="108" w:type="dxa"/>
            <w:bottom w:w="0" w:type="dxa"/>
            <w:right w:w="108" w:type="dxa"/>
          </w:tblCellMar>
        </w:tblPrEx>
        <w:trPr>
          <w:trHeight w:val="6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2BA56">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5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8BF0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指标模拟</w:t>
            </w:r>
          </w:p>
        </w:tc>
        <w:tc>
          <w:tcPr>
            <w:tcW w:w="25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82CF7">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于数据库已有数据与设定的假设条件，对造价指标进行模拟测算。用户可调整工程参数（如建筑面积、结构类型、装修标准等）、市场价格（人工单价、材料价格、机械台班单价）、施工方案等变量，系统自动重新计算相关造价指标，快速生成模拟后的造价结果与指标变化分析，预测不同条件下的造价走势与成本影响。</w:t>
            </w:r>
          </w:p>
        </w:tc>
        <w:tc>
          <w:tcPr>
            <w:tcW w:w="1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16FA8">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rPr>
              <w:t>应用于辅助选择最优方案；应用于预测市场价格波动对项目造价的影响，提前制定应对策略；应用于</w:t>
            </w:r>
            <w:r>
              <w:rPr>
                <w:rFonts w:hint="eastAsia" w:ascii="仿宋_GB2312" w:hAnsi="仿宋_GB2312" w:eastAsia="仿宋_GB2312" w:cs="仿宋_GB2312"/>
                <w:color w:val="auto"/>
                <w:sz w:val="24"/>
                <w:szCs w:val="24"/>
                <w:lang w:val="en-US" w:eastAsia="zh-CN"/>
              </w:rPr>
              <w:t>工程设计变更或者</w:t>
            </w:r>
            <w:r>
              <w:rPr>
                <w:rFonts w:hint="eastAsia" w:ascii="仿宋_GB2312" w:hAnsi="仿宋_GB2312" w:eastAsia="仿宋_GB2312" w:cs="仿宋_GB2312"/>
                <w:color w:val="auto"/>
                <w:sz w:val="24"/>
                <w:szCs w:val="24"/>
              </w:rPr>
              <w:t>评估施工方案变更对造价的影响，为项目决策提供数据支持 。</w:t>
            </w:r>
          </w:p>
        </w:tc>
      </w:tr>
    </w:tbl>
    <w:p w14:paraId="613295C4">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baseline"/>
        <w:rPr>
          <w:rFonts w:hint="eastAsia" w:ascii="仿宋_GB2312" w:hAnsi="仿宋_GB2312" w:eastAsia="仿宋_GB2312" w:cs="仿宋_GB2312"/>
          <w:b/>
          <w:bCs/>
          <w:sz w:val="32"/>
          <w:szCs w:val="32"/>
          <w:u w:val="single"/>
        </w:rPr>
      </w:pPr>
    </w:p>
    <w:p w14:paraId="3E21B8A5">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baseline"/>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工程量清单数据库</w:t>
      </w:r>
    </w:p>
    <w:p w14:paraId="5348C662">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工程量清单数据库为造价咨询企业提供将造价咨询成果文件中的工程量清单拆解后的统一管理能力，提供自动或半自动工程量清单标注的能力，为建设工程造价指标数据库、智能复核系统提供数据支撑。</w:t>
      </w:r>
    </w:p>
    <w:p w14:paraId="0A1896CA">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工程量清单数据库需要实现将除工程量清单自身特征之外的建设项目信息、业主单位、建设单位信息等丰富的环境信息，都附加在工程量清单中。</w:t>
      </w:r>
    </w:p>
    <w:tbl>
      <w:tblPr>
        <w:tblStyle w:val="18"/>
        <w:tblW w:w="4998" w:type="pct"/>
        <w:tblInd w:w="0" w:type="dxa"/>
        <w:tblLayout w:type="autofit"/>
        <w:tblCellMar>
          <w:top w:w="0" w:type="dxa"/>
          <w:left w:w="108" w:type="dxa"/>
          <w:bottom w:w="0" w:type="dxa"/>
          <w:right w:w="108" w:type="dxa"/>
        </w:tblCellMar>
      </w:tblPr>
      <w:tblGrid>
        <w:gridCol w:w="698"/>
        <w:gridCol w:w="1241"/>
        <w:gridCol w:w="4431"/>
        <w:gridCol w:w="2149"/>
      </w:tblGrid>
      <w:tr w14:paraId="37599817">
        <w:tblPrEx>
          <w:tblCellMar>
            <w:top w:w="0" w:type="dxa"/>
            <w:left w:w="108" w:type="dxa"/>
            <w:bottom w:w="0" w:type="dxa"/>
            <w:right w:w="108" w:type="dxa"/>
          </w:tblCellMar>
        </w:tblPrEx>
        <w:trPr>
          <w:trHeight w:val="6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2A8C2">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7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9ACE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功能名称</w:t>
            </w:r>
          </w:p>
        </w:tc>
        <w:tc>
          <w:tcPr>
            <w:tcW w:w="2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02E9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功能描述</w:t>
            </w:r>
          </w:p>
        </w:tc>
        <w:tc>
          <w:tcPr>
            <w:tcW w:w="1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9CBF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目标</w:t>
            </w:r>
          </w:p>
        </w:tc>
      </w:tr>
      <w:tr w14:paraId="28C988CF">
        <w:tblPrEx>
          <w:tblCellMar>
            <w:top w:w="0" w:type="dxa"/>
            <w:left w:w="108" w:type="dxa"/>
            <w:bottom w:w="0" w:type="dxa"/>
            <w:right w:w="108" w:type="dxa"/>
          </w:tblCellMar>
        </w:tblPrEx>
        <w:trPr>
          <w:trHeight w:val="549"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A95B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7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C583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清单标注</w:t>
            </w:r>
          </w:p>
        </w:tc>
        <w:tc>
          <w:tcPr>
            <w:tcW w:w="2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1D09E">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于预设的规则库与算法模型，系统自动或半自动对工程量清单的项目特征进行标注。通过自然语言处理技术，解析清单项目名称、描述等文本内容，匹配规则库中对应的特征模板，自动识别并标注出如材料规格、施工工艺、质量标准、实施部位、尺寸形状等关键特征信息。例如，遇到 “C30 商品混凝土现浇矩形梁”，系统自动标注出 “混凝土强度等级：C30”“混凝土类型：商品混凝土”“构件类型：矩形梁” 等特征，无需人工手动逐条标注，实现快速、准确的批量标注。</w:t>
            </w:r>
          </w:p>
        </w:tc>
        <w:tc>
          <w:tcPr>
            <w:tcW w:w="1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24B0F">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提高标注效率，节省大量人力与时间成本；</w:t>
            </w:r>
          </w:p>
          <w:p w14:paraId="4CB9351D">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减少标注错误，增强标注客观性，提高标注结果的一致性和准确性。</w:t>
            </w:r>
          </w:p>
        </w:tc>
      </w:tr>
      <w:tr w14:paraId="4424AB86">
        <w:tblPrEx>
          <w:tblCellMar>
            <w:top w:w="0" w:type="dxa"/>
            <w:left w:w="108" w:type="dxa"/>
            <w:bottom w:w="0" w:type="dxa"/>
            <w:right w:w="108" w:type="dxa"/>
          </w:tblCellMar>
        </w:tblPrEx>
        <w:trPr>
          <w:trHeight w:val="503"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E3B7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7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7A02D">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清单检索</w:t>
            </w:r>
          </w:p>
        </w:tc>
        <w:tc>
          <w:tcPr>
            <w:tcW w:w="2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5A59D">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依托清单标注的全维度特征信息，构建强大的检索体系。用户可通过单一或组合条件进行检索，检索条件涵盖工程量清单项目的各类特征（如材料规格 “不锈钢 304”、施工工艺 “装配式施工”）、造价咨询项目特征（如项目地域 “西安”、项目规模 “10 万平方米以上”），以及关联主体信息（如特定造价工程师姓名、某建设单位名称）。系统快速筛选出符合条件的清单项目，并以结构化列表或详细卡片形式展示，同时标注出检索条件的特征信息，方便用户快速定位和查看所需清单数据。检索功能也通过API形式向其他系统提供数据支持。</w:t>
            </w:r>
          </w:p>
        </w:tc>
        <w:tc>
          <w:tcPr>
            <w:tcW w:w="1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175FD">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为造价师提供便捷的工程量清单查询工具，参考已编制的入库工程量清单。</w:t>
            </w:r>
          </w:p>
        </w:tc>
      </w:tr>
      <w:tr w14:paraId="684F0807">
        <w:trPr>
          <w:trHeight w:val="503"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BEB71">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7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B653E">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清单比对</w:t>
            </w:r>
          </w:p>
        </w:tc>
        <w:tc>
          <w:tcPr>
            <w:tcW w:w="26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0D415">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以清单标注的各类特征信息为基础，系统自动对不同工程量清单进行深度对比。不仅对比清单项目的基础数据，如项目名称、编码、工程量、综合单价等，还会针对标注的详细特征信息，包括施工工艺、材料规格、质量标准等，以及造价咨询项目特征信息（如项目类型、规模、地域）、关联主体信息（造价咨询机构、造价工程师、建设单位）进行全面比对。通过可视化界面，用不同颜色和标识突出显示差异部分，同时生成详细的对比分析报告，清晰呈现清单在各个维度上的异同，以及这些差异对造价的潜在影响。</w:t>
            </w:r>
          </w:p>
        </w:tc>
        <w:tc>
          <w:tcPr>
            <w:tcW w:w="1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C71CE">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在招投标阶段，对比不同投标单位的清单，结合标注的施工工艺、材料品牌等特征差异，分析工程量清单报价的合理性与成本构成差异；</w:t>
            </w:r>
          </w:p>
          <w:p w14:paraId="175EEC4D">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对比不同</w:t>
            </w:r>
            <w:r>
              <w:rPr>
                <w:rFonts w:hint="eastAsia" w:ascii="仿宋_GB2312" w:hAnsi="仿宋_GB2312" w:eastAsia="仿宋_GB2312" w:cs="仿宋_GB2312"/>
                <w:color w:val="000000"/>
                <w:sz w:val="24"/>
                <w:szCs w:val="24"/>
                <w:lang w:eastAsia="zh-CN"/>
              </w:rPr>
              <w:t>造价</w:t>
            </w:r>
            <w:r>
              <w:rPr>
                <w:rFonts w:hint="eastAsia" w:ascii="仿宋_GB2312" w:hAnsi="仿宋_GB2312" w:eastAsia="仿宋_GB2312" w:cs="仿宋_GB2312"/>
                <w:color w:val="000000"/>
                <w:sz w:val="24"/>
                <w:szCs w:val="24"/>
              </w:rPr>
              <w:t>师编制的清单差异，为企业标准提供数据支撑。</w:t>
            </w:r>
          </w:p>
        </w:tc>
      </w:tr>
    </w:tbl>
    <w:p w14:paraId="23925509">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baseline"/>
        <w:rPr>
          <w:rFonts w:hint="eastAsia" w:ascii="仿宋_GB2312" w:hAnsi="仿宋_GB2312" w:eastAsia="仿宋_GB2312" w:cs="仿宋_GB2312"/>
          <w:b/>
          <w:bCs/>
          <w:sz w:val="32"/>
          <w:szCs w:val="32"/>
          <w:u w:val="single"/>
        </w:rPr>
      </w:pPr>
    </w:p>
    <w:p w14:paraId="3E818258">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baseline"/>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人、材、机价格数据库</w:t>
      </w:r>
    </w:p>
    <w:p w14:paraId="459C8CAB">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人、材、机价格数据库为造价咨询企业提供从造价咨询成果中提取人、材、机价格数据并进行统一管理的能力。基于收集到的人、材、机价格数据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sz w:val="32"/>
          <w:szCs w:val="32"/>
        </w:rPr>
        <w:t>企业定额管理提供数据支撑，向智能复核系统通过API接口提供数据支撑。</w:t>
      </w:r>
    </w:p>
    <w:tbl>
      <w:tblPr>
        <w:tblStyle w:val="18"/>
        <w:tblW w:w="4998" w:type="pct"/>
        <w:tblInd w:w="0" w:type="dxa"/>
        <w:tblLayout w:type="fixed"/>
        <w:tblCellMar>
          <w:top w:w="0" w:type="dxa"/>
          <w:left w:w="108" w:type="dxa"/>
          <w:bottom w:w="0" w:type="dxa"/>
          <w:right w:w="108" w:type="dxa"/>
        </w:tblCellMar>
      </w:tblPr>
      <w:tblGrid>
        <w:gridCol w:w="635"/>
        <w:gridCol w:w="1280"/>
        <w:gridCol w:w="4542"/>
        <w:gridCol w:w="2062"/>
      </w:tblGrid>
      <w:tr w14:paraId="6FB4ACD0">
        <w:tblPrEx>
          <w:tblCellMar>
            <w:top w:w="0" w:type="dxa"/>
            <w:left w:w="108" w:type="dxa"/>
            <w:bottom w:w="0" w:type="dxa"/>
            <w:right w:w="108" w:type="dxa"/>
          </w:tblCellMar>
        </w:tblPrEx>
        <w:trPr>
          <w:trHeight w:val="622"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59BA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序号</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4A2DB">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功能名称</w:t>
            </w:r>
          </w:p>
        </w:tc>
        <w:tc>
          <w:tcPr>
            <w:tcW w:w="2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7F7FE">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功能描述</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C73AA">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目标</w:t>
            </w:r>
          </w:p>
        </w:tc>
      </w:tr>
      <w:tr w14:paraId="65301880">
        <w:tblPrEx>
          <w:tblCellMar>
            <w:top w:w="0" w:type="dxa"/>
            <w:left w:w="108" w:type="dxa"/>
            <w:bottom w:w="0" w:type="dxa"/>
            <w:right w:w="108" w:type="dxa"/>
          </w:tblCellMar>
        </w:tblPrEx>
        <w:trPr>
          <w:trHeight w:val="503"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CD044">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66CD9">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类别管理</w:t>
            </w:r>
          </w:p>
        </w:tc>
        <w:tc>
          <w:tcPr>
            <w:tcW w:w="2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E0EBA">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材料设备价数据提供系统化分类框架，支持用户自定义多级分类目录。用户可依据材料设备的属性（如材料材质、设备用途）、工程专业（土建、安装、装饰等）、应用场景（基础工程、主体结构、装修工程）等维度，创建、编辑和删除类别。同时，具备类别关联与映射功能，可将同一材料设备对应到多个类别下，方便从不同角度检索数据。系统自动对类别进行排序和索引，确保数据存储与查询的规范性和高效性。</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5393E">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提供便于构建个性化材料设备分类体系的能力；</w:t>
            </w:r>
          </w:p>
          <w:p w14:paraId="183A71B2">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提供快速检索的条件；</w:t>
            </w:r>
          </w:p>
          <w:p w14:paraId="657F8E0E">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定期对类别进行优化调整，以适应新材料、新设备的出现及工程技术的发展变化。</w:t>
            </w:r>
          </w:p>
        </w:tc>
      </w:tr>
      <w:tr w14:paraId="6BF0C738">
        <w:tblPrEx>
          <w:tblCellMar>
            <w:top w:w="0" w:type="dxa"/>
            <w:left w:w="108" w:type="dxa"/>
            <w:bottom w:w="0" w:type="dxa"/>
            <w:right w:w="108" w:type="dxa"/>
          </w:tblCellMar>
        </w:tblPrEx>
        <w:trPr>
          <w:trHeight w:val="503"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5E321">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E1860">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询价管理</w:t>
            </w:r>
          </w:p>
        </w:tc>
        <w:tc>
          <w:tcPr>
            <w:tcW w:w="2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1C981">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现材料设备价格信息的收集、更新与跟踪全流程管理。支持多种询价方式，包括线上供应商平台对接、线下市场调研数据录入、历史价格数据调取等。用户可创建询价任务，设定询价材料设备清单、询价时间周期和供应商范围，系统自动推送询价需求至合作供应商，并实时接收反馈价格信息。同时，具备价格对比分析功能，将不同供应商的报价与历史价格、市场均价进行对比，标注异常价格并预警。此外，可对询价过程中的沟通记录、报价文件等资料进行归档保存，方便后续追溯与审核。</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0900C">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提供标准化在线询价管理流程，为控制询价数据来源提供管理基础。</w:t>
            </w:r>
          </w:p>
          <w:p w14:paraId="4A0D917D">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提供自动化数据对接方式，减少操作和重复询价造成的工作量。</w:t>
            </w:r>
          </w:p>
          <w:p w14:paraId="5704FE43">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提供询价结果数据集中管理的基础。</w:t>
            </w:r>
          </w:p>
        </w:tc>
      </w:tr>
      <w:tr w14:paraId="5FB18759">
        <w:tblPrEx>
          <w:tblCellMar>
            <w:top w:w="0" w:type="dxa"/>
            <w:left w:w="108" w:type="dxa"/>
            <w:bottom w:w="0" w:type="dxa"/>
            <w:right w:w="108" w:type="dxa"/>
          </w:tblCellMar>
        </w:tblPrEx>
        <w:trPr>
          <w:trHeight w:val="503" w:hRule="atLeast"/>
        </w:trPr>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FF17E">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7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E6B5E">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人、材、机信息检索</w:t>
            </w:r>
          </w:p>
        </w:tc>
        <w:tc>
          <w:tcPr>
            <w:tcW w:w="2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1354D">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于材料设备价数据库的分类和标注信息，提供检索工具。支持通过多种条件进行快速检索，包括材料设备名称、规格型号、品牌、价格区间、所属类别、适用工程专业等单一或组合条件。系统还具备模糊检索和智能联想功能，即使输入不完整或不准确的信息，也能匹配到相关数据。检索功能也通过API形式向其他系统提供数据支持。</w:t>
            </w:r>
          </w:p>
        </w:tc>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00D23">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为造价工程师提供检索功能；</w:t>
            </w:r>
          </w:p>
          <w:p w14:paraId="0F238719">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为其他数据</w:t>
            </w:r>
            <w:r>
              <w:rPr>
                <w:rFonts w:hint="eastAsia" w:ascii="仿宋_GB2312" w:hAnsi="仿宋_GB2312" w:eastAsia="仿宋_GB2312" w:cs="仿宋_GB2312"/>
                <w:color w:val="000000"/>
                <w:sz w:val="24"/>
                <w:szCs w:val="24"/>
                <w:lang w:eastAsia="zh-CN"/>
              </w:rPr>
              <w:t>应用</w:t>
            </w:r>
            <w:r>
              <w:rPr>
                <w:rFonts w:hint="eastAsia" w:ascii="仿宋_GB2312" w:hAnsi="仿宋_GB2312" w:eastAsia="仿宋_GB2312" w:cs="仿宋_GB2312"/>
                <w:color w:val="000000"/>
                <w:sz w:val="24"/>
                <w:szCs w:val="24"/>
              </w:rPr>
              <w:t>系统提供数据接入API；</w:t>
            </w:r>
          </w:p>
          <w:p w14:paraId="2363EA84">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为造价咨询企业提供材料、设备价格变化数据分析的基础。</w:t>
            </w:r>
          </w:p>
        </w:tc>
      </w:tr>
    </w:tbl>
    <w:p w14:paraId="1C7B5608">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baseline"/>
        <w:rPr>
          <w:rFonts w:hint="eastAsia" w:ascii="仿宋_GB2312" w:hAnsi="仿宋_GB2312" w:eastAsia="仿宋_GB2312" w:cs="仿宋_GB2312"/>
          <w:b/>
          <w:bCs/>
          <w:sz w:val="32"/>
          <w:szCs w:val="32"/>
          <w:u w:val="single"/>
        </w:rPr>
      </w:pPr>
    </w:p>
    <w:p w14:paraId="5686966C">
      <w:pPr>
        <w:pStyle w:val="4"/>
        <w:keepNext w:val="0"/>
        <w:keepLines w:val="0"/>
        <w:pageBreakBefore w:val="0"/>
        <w:widowControl w:val="0"/>
        <w:kinsoku/>
        <w:wordWrap/>
        <w:overflowPunct/>
        <w:topLinePunct w:val="0"/>
        <w:autoSpaceDE/>
        <w:autoSpaceDN/>
        <w:bidi w:val="0"/>
        <w:adjustRightInd w:val="0"/>
        <w:snapToGrid w:val="0"/>
        <w:spacing w:line="560" w:lineRule="exact"/>
        <w:ind w:firstLine="602"/>
        <w:textAlignment w:val="baseline"/>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企业定额数据库</w:t>
      </w:r>
    </w:p>
    <w:p w14:paraId="534B389A">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企业定额数据</w:t>
      </w:r>
      <w:r>
        <w:rPr>
          <w:rFonts w:hint="eastAsia" w:ascii="仿宋_GB2312" w:hAnsi="仿宋_GB2312" w:eastAsia="仿宋_GB2312" w:cs="仿宋_GB2312"/>
          <w:color w:val="auto"/>
          <w:sz w:val="32"/>
          <w:szCs w:val="32"/>
          <w:lang w:val="en-US" w:eastAsia="zh-CN"/>
        </w:rPr>
        <w:t>是“高质量，可信”数据体系的关键，企业定额数据是在合理建造成本的基础上，综合考虑各参与方利益制定的企业级定额，是造价咨询企业综合能力的体现。</w:t>
      </w:r>
      <w:r>
        <w:rPr>
          <w:rFonts w:hint="eastAsia" w:ascii="仿宋_GB2312" w:hAnsi="仿宋_GB2312" w:eastAsia="仿宋_GB2312" w:cs="仿宋_GB2312"/>
          <w:color w:val="auto"/>
          <w:sz w:val="32"/>
          <w:szCs w:val="32"/>
        </w:rPr>
        <w:t>企业定额数据是提升企业市场竞争力的重要工具，在提升造价咨询企业工作效率的同时，还可以帮助造价咨询企业提供造价咨询价值链之外</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附加价值，造价咨询企业定额库还是为建设工程项目提供成本控制的重要工具。</w:t>
      </w:r>
    </w:p>
    <w:p w14:paraId="6BD64B27">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造价咨询企业建设企业定额数据库是必要且十分重要的。定额数据是建设工程造价指标数据库、工程量清单数据库</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人、材、机价格数据库的重要目标，上述数据库都需要通过企业定额数据来发挥数据价值。</w:t>
      </w:r>
    </w:p>
    <w:p w14:paraId="36FB6C34">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bCs/>
          <w:color w:val="auto"/>
          <w:sz w:val="32"/>
          <w:szCs w:val="32"/>
          <w:u w:val="single"/>
        </w:rPr>
        <w:t>就一定意义上讲，准确反映</w:t>
      </w:r>
      <w:r>
        <w:rPr>
          <w:rFonts w:hint="eastAsia" w:ascii="仿宋_GB2312" w:hAnsi="仿宋_GB2312" w:eastAsia="仿宋_GB2312" w:cs="仿宋_GB2312"/>
          <w:b/>
          <w:bCs/>
          <w:color w:val="auto"/>
          <w:sz w:val="32"/>
          <w:szCs w:val="32"/>
          <w:u w:val="single"/>
          <w:lang w:val="en-US" w:eastAsia="zh-CN"/>
        </w:rPr>
        <w:t>特定环境下</w:t>
      </w:r>
      <w:r>
        <w:rPr>
          <w:rFonts w:hint="eastAsia" w:ascii="仿宋_GB2312" w:hAnsi="仿宋_GB2312" w:eastAsia="仿宋_GB2312" w:cs="仿宋_GB2312"/>
          <w:b/>
          <w:bCs/>
          <w:color w:val="auto"/>
          <w:sz w:val="32"/>
          <w:szCs w:val="32"/>
          <w:u w:val="single"/>
        </w:rPr>
        <w:t>市场行情的企业定额数据，是造价咨询企业为客户提供个性化服务的重要支撑，也是企业核心竞争力的重要体现</w:t>
      </w:r>
      <w:r>
        <w:rPr>
          <w:rFonts w:hint="eastAsia" w:ascii="仿宋_GB2312" w:hAnsi="仿宋_GB2312" w:eastAsia="仿宋_GB2312" w:cs="仿宋_GB2312"/>
          <w:b w:val="0"/>
          <w:bCs w:val="0"/>
          <w:color w:val="auto"/>
          <w:sz w:val="32"/>
          <w:szCs w:val="32"/>
          <w:u w:val="none"/>
        </w:rPr>
        <w:t>。</w:t>
      </w:r>
    </w:p>
    <w:p w14:paraId="2EEFCF41">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rPr>
          <w:rFonts w:hint="eastAsia" w:ascii="仿宋_GB2312" w:hAnsi="仿宋_GB2312" w:eastAsia="仿宋_GB2312" w:cs="仿宋_GB2312"/>
          <w:b w:val="0"/>
          <w:bCs w:val="0"/>
          <w:color w:val="auto"/>
          <w:sz w:val="32"/>
          <w:szCs w:val="32"/>
          <w:u w:val="none"/>
        </w:rPr>
      </w:pPr>
    </w:p>
    <w:p w14:paraId="048B6235">
      <w:pPr>
        <w:pStyle w:val="4"/>
        <w:keepNext w:val="0"/>
        <w:keepLines w:val="0"/>
        <w:pageBreakBefore w:val="0"/>
        <w:widowControl w:val="0"/>
        <w:kinsoku/>
        <w:wordWrap/>
        <w:overflowPunct/>
        <w:topLinePunct w:val="0"/>
        <w:autoSpaceDE/>
        <w:autoSpaceDN/>
        <w:bidi w:val="0"/>
        <w:adjustRightInd w:val="0"/>
        <w:snapToGrid w:val="0"/>
        <w:spacing w:line="560" w:lineRule="exact"/>
        <w:ind w:firstLine="600"/>
        <w:textAlignment w:val="baseline"/>
        <w:rPr>
          <w:rFonts w:hint="eastAsia" w:ascii="仿宋_GB2312" w:hAnsi="仿宋_GB2312" w:eastAsia="仿宋_GB2312" w:cs="仿宋_GB2312"/>
          <w:b w:val="0"/>
          <w:bCs w:val="0"/>
          <w:color w:val="auto"/>
          <w:sz w:val="32"/>
          <w:szCs w:val="32"/>
          <w:u w:val="none"/>
        </w:rPr>
      </w:pPr>
    </w:p>
    <w:tbl>
      <w:tblPr>
        <w:tblStyle w:val="18"/>
        <w:tblW w:w="4998" w:type="pct"/>
        <w:tblInd w:w="0" w:type="dxa"/>
        <w:tblLayout w:type="fixed"/>
        <w:tblCellMar>
          <w:top w:w="0" w:type="dxa"/>
          <w:left w:w="108" w:type="dxa"/>
          <w:bottom w:w="0" w:type="dxa"/>
          <w:right w:w="108" w:type="dxa"/>
        </w:tblCellMar>
      </w:tblPr>
      <w:tblGrid>
        <w:gridCol w:w="578"/>
        <w:gridCol w:w="1361"/>
        <w:gridCol w:w="4633"/>
        <w:gridCol w:w="1947"/>
      </w:tblGrid>
      <w:tr w14:paraId="128AF1D7">
        <w:tblPrEx>
          <w:tblCellMar>
            <w:top w:w="0" w:type="dxa"/>
            <w:left w:w="108" w:type="dxa"/>
            <w:bottom w:w="0" w:type="dxa"/>
            <w:right w:w="108"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1D26C">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ADDC9">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功能名称</w:t>
            </w:r>
          </w:p>
        </w:tc>
        <w:tc>
          <w:tcPr>
            <w:tcW w:w="2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2F4E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功能描述</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9101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目标</w:t>
            </w:r>
          </w:p>
        </w:tc>
      </w:tr>
      <w:tr w14:paraId="35C8ABFF">
        <w:tblPrEx>
          <w:tblCellMar>
            <w:top w:w="0" w:type="dxa"/>
            <w:left w:w="108" w:type="dxa"/>
            <w:bottom w:w="0" w:type="dxa"/>
            <w:right w:w="108" w:type="dxa"/>
          </w:tblCellMar>
        </w:tblPrEx>
        <w:trPr>
          <w:trHeight w:val="503" w:hRule="atLeast"/>
        </w:trPr>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B2606">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CA091">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工程定额数据管理</w:t>
            </w:r>
          </w:p>
        </w:tc>
        <w:tc>
          <w:tcPr>
            <w:tcW w:w="2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47515">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构建企业专属的工程定额数据体系，支持劳动定额、材料消耗定额、机械台班使用定额等多类型定额的结构化录入、编辑与维护。用户可自定义定额分类层级，按工程专业、施工工艺、项目类型等维度划分，实现定额数据的精细化管理。系统自动关联定额与价格信息、项目案例数据，支持定额消耗量的动态调整与版本追溯，通过内置算法验证数据合理性，并提供可视化图表展示定额水平变化趋势，辅助企业优化定额标准。</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7AE7E">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提供识别、修正市场不合理报价的能力基础；提供分析建设工程项目消耗量异常的能力；为项目管理能力持续提升改进提供数据基础。</w:t>
            </w:r>
          </w:p>
        </w:tc>
      </w:tr>
      <w:tr w14:paraId="05EB51D2">
        <w:tblPrEx>
          <w:tblCellMar>
            <w:top w:w="0" w:type="dxa"/>
            <w:left w:w="108" w:type="dxa"/>
            <w:bottom w:w="0" w:type="dxa"/>
            <w:right w:w="108" w:type="dxa"/>
          </w:tblCellMar>
        </w:tblPrEx>
        <w:trPr>
          <w:trHeight w:val="503" w:hRule="atLeast"/>
        </w:trPr>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2478B">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3C38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费用定额</w:t>
            </w:r>
          </w:p>
        </w:tc>
        <w:tc>
          <w:tcPr>
            <w:tcW w:w="2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7FA3C">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实现企业管理费、利润、规费、税金等费用定额的统一管理，支持按不同项目类型、地区政策自定义费用计算规则与费率标准。系统自动关联费用定额与工程定额、价格信息，在造价计算时智能匹配适用的费用模板。提供费用定额版本管理功能，记录政策调整与企业内部规则变更历史，支持费用计算过程的可视化追溯，确保费用计取的合规性与准确性。</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2FD54">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为跨地域费用计价合规提供数据基础；</w:t>
            </w:r>
          </w:p>
          <w:p w14:paraId="539118B6">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为分析管理费率对成本利用影响提供数据基础。</w:t>
            </w:r>
          </w:p>
        </w:tc>
      </w:tr>
      <w:tr w14:paraId="13F425A1">
        <w:tblPrEx>
          <w:tblCellMar>
            <w:top w:w="0" w:type="dxa"/>
            <w:left w:w="108" w:type="dxa"/>
            <w:bottom w:w="0" w:type="dxa"/>
            <w:right w:w="108" w:type="dxa"/>
          </w:tblCellMar>
        </w:tblPrEx>
        <w:trPr>
          <w:trHeight w:val="2951" w:hRule="atLeast"/>
        </w:trPr>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C4301">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0A286">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项目案例数据</w:t>
            </w:r>
          </w:p>
        </w:tc>
        <w:tc>
          <w:tcPr>
            <w:tcW w:w="2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AE5C4">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auto"/>
                <w:kern w:val="0"/>
                <w:sz w:val="24"/>
                <w:szCs w:val="24"/>
              </w:rPr>
              <w:t>建立企业典型项目案例数据库，支持从项目立项到结算、决算的全生命周期数据归档，包括项目基本信息、造价成果文件、变更签证记录、实际成本数据等。通过标签化管理实现案例多维度检索（如工程类型、规模、造价指标、重难点），内置案例对比分析工具，可快速提取相似案例的造价指标与经验教训。支持案例数据的结构化分析，生成典型项目造价指标库，为新项目提供类比估算依据。</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BFA91">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为辅助投资估算提供数据基础；为项目突发问题提供借鉴历史案例的处理经验的数据基础；为总结不同类型</w:t>
            </w:r>
            <w:r>
              <w:rPr>
                <w:rFonts w:hint="eastAsia" w:ascii="仿宋_GB2312" w:hAnsi="仿宋_GB2312" w:eastAsia="仿宋_GB2312" w:cs="仿宋_GB2312"/>
                <w:color w:val="000000"/>
                <w:sz w:val="24"/>
                <w:szCs w:val="24"/>
                <w:lang w:eastAsia="zh-CN"/>
              </w:rPr>
              <w:t>项目</w:t>
            </w:r>
            <w:r>
              <w:rPr>
                <w:rFonts w:hint="eastAsia" w:ascii="仿宋_GB2312" w:hAnsi="仿宋_GB2312" w:eastAsia="仿宋_GB2312" w:cs="仿宋_GB2312"/>
                <w:color w:val="000000"/>
                <w:sz w:val="24"/>
                <w:szCs w:val="24"/>
              </w:rPr>
              <w:t>的成本控制、优化管理策略提供数据基础。</w:t>
            </w:r>
          </w:p>
        </w:tc>
      </w:tr>
      <w:tr w14:paraId="2D8CA293">
        <w:tblPrEx>
          <w:tblCellMar>
            <w:top w:w="0" w:type="dxa"/>
            <w:left w:w="108" w:type="dxa"/>
            <w:bottom w:w="0" w:type="dxa"/>
            <w:right w:w="108" w:type="dxa"/>
          </w:tblCellMar>
        </w:tblPrEx>
        <w:trPr>
          <w:trHeight w:val="503" w:hRule="atLeast"/>
        </w:trPr>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84B14">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7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B50A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其他资料文件</w:t>
            </w:r>
          </w:p>
        </w:tc>
        <w:tc>
          <w:tcPr>
            <w:tcW w:w="27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C5362">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作为企业定额数据的辅助支撑模块，支持政策法规文件、行业标准规范、企业内部制度、技术资料等非结构化文件的分类存储与检索。提供文件版本管理、权限控制功能，确保资料的安全性与时效性。通过关键词提取与智能关联技术，将文件与工程定额、项目案例等数据建立关联，在用户查看相关数据时自动推送关联资料。支持文件在线预览、批注与协作编辑，提升资料使用效率。</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63B58">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造价人员编制文件时，快速调取最新政策法规与行业标准作为依据；企业管理层通过查阅内部制度文件，监督定额执行情况；新员工通过学习关联的技术资料与案例，快速掌握企业定额应用方法。</w:t>
            </w:r>
          </w:p>
        </w:tc>
      </w:tr>
    </w:tbl>
    <w:p w14:paraId="18BEA4F5">
      <w:pPr>
        <w:pStyle w:val="6"/>
        <w:pageBreakBefore w:val="0"/>
        <w:widowControl w:val="0"/>
        <w:kinsoku/>
        <w:wordWrap/>
        <w:overflowPunct/>
        <w:topLinePunct w:val="0"/>
        <w:autoSpaceDE/>
        <w:autoSpaceDN/>
        <w:bidi w:val="0"/>
        <w:spacing w:line="560" w:lineRule="exact"/>
        <w:ind w:firstLine="321" w:firstLineChars="1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2.3.</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 xml:space="preserve"> 智能复核系统</w:t>
      </w:r>
    </w:p>
    <w:p w14:paraId="5A5CF794">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智能复核系统是造价咨询企业实现数字化转型的关键工具，是造价咨询企业内部数据循环的关键节点，是实现数据收集和应用的关键工具。</w:t>
      </w:r>
    </w:p>
    <w:p w14:paraId="10DE5835">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智能复核系统可以为项目全生命周期造价管理提供支撑，具体应用点包括：项目前期造价估算复核、初步设计概算复核、施工图预算复核、招投标阶段造价文件复核、施工过程中的“过程结算”管理、竣工结算阶段造价文件审核、企业内部造价数据管理与质量控制。</w:t>
      </w:r>
    </w:p>
    <w:p w14:paraId="2A4E3973">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智能复核系统的功能设计，应至少支持合规性检查、合理性检查、差异性检查三个维度的复核的能力。</w:t>
      </w:r>
    </w:p>
    <w:p w14:paraId="55761F67">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合规性检查是指，</w:t>
      </w:r>
      <w:r>
        <w:rPr>
          <w:rFonts w:hint="eastAsia" w:ascii="仿宋_GB2312" w:hAnsi="仿宋_GB2312" w:eastAsia="仿宋_GB2312" w:cs="仿宋_GB2312"/>
          <w:sz w:val="32"/>
          <w:szCs w:val="32"/>
        </w:rPr>
        <w:t>基于设定的检查规则进行逐条匹配检查，检查的内容</w:t>
      </w:r>
      <w:r>
        <w:rPr>
          <w:rFonts w:hint="eastAsia" w:ascii="仿宋_GB2312" w:hAnsi="仿宋_GB2312" w:eastAsia="仿宋_GB2312" w:cs="仿宋_GB2312"/>
          <w:sz w:val="32"/>
          <w:szCs w:val="32"/>
          <w:lang w:val="en-US" w:eastAsia="zh-CN"/>
        </w:rPr>
        <w:t>包括但</w:t>
      </w:r>
      <w:r>
        <w:rPr>
          <w:rFonts w:hint="eastAsia" w:ascii="仿宋_GB2312" w:hAnsi="仿宋_GB2312" w:eastAsia="仿宋_GB2312" w:cs="仿宋_GB2312"/>
          <w:color w:val="auto"/>
          <w:sz w:val="32"/>
          <w:szCs w:val="32"/>
        </w:rPr>
        <w:t>不限于</w:t>
      </w:r>
      <w:r>
        <w:rPr>
          <w:rFonts w:hint="eastAsia" w:ascii="仿宋_GB2312" w:hAnsi="仿宋_GB2312" w:eastAsia="仿宋_GB2312" w:cs="仿宋_GB2312"/>
          <w:sz w:val="32"/>
          <w:szCs w:val="32"/>
        </w:rPr>
        <w:t>企业、国家规范符合性检查，如：格式错误、标点符号错误、别字错误、歧义用词用语、工程量清单错误等。</w:t>
      </w:r>
    </w:p>
    <w:p w14:paraId="25DAC9C0">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合理性检查是指，</w:t>
      </w:r>
      <w:r>
        <w:rPr>
          <w:rFonts w:hint="eastAsia" w:ascii="仿宋_GB2312" w:hAnsi="仿宋_GB2312" w:eastAsia="仿宋_GB2312" w:cs="仿宋_GB2312"/>
          <w:sz w:val="32"/>
          <w:szCs w:val="32"/>
        </w:rPr>
        <w:t>对当前的造价咨询项目数据进行范围检查、偏离预警等，数据合理范围基于当前项目内数据和指标、工程量、人材机数据库的匹配结果确定。</w:t>
      </w:r>
    </w:p>
    <w:p w14:paraId="1F501A07">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差异性检查是指，</w:t>
      </w:r>
      <w:r>
        <w:rPr>
          <w:rFonts w:hint="eastAsia" w:ascii="仿宋_GB2312" w:hAnsi="仿宋_GB2312" w:eastAsia="仿宋_GB2312" w:cs="仿宋_GB2312"/>
          <w:sz w:val="32"/>
          <w:szCs w:val="32"/>
        </w:rPr>
        <w:t>快速定位两版工程量清单文件的差异部分，既可以用于内审质控场景，也可以应用于造价咨询场景。</w:t>
      </w:r>
    </w:p>
    <w:p w14:paraId="65F41684">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智能复核系统应用的目标包括，</w:t>
      </w:r>
      <w:r>
        <w:rPr>
          <w:rFonts w:hint="eastAsia" w:ascii="仿宋_GB2312" w:hAnsi="仿宋_GB2312" w:eastAsia="仿宋_GB2312" w:cs="仿宋_GB2312"/>
          <w:sz w:val="32"/>
          <w:szCs w:val="32"/>
        </w:rPr>
        <w:t>全员应用智能复核，所有的造价清单应</w:t>
      </w:r>
      <w:r>
        <w:rPr>
          <w:rFonts w:hint="eastAsia" w:ascii="仿宋_GB2312" w:hAnsi="仿宋_GB2312" w:eastAsia="仿宋_GB2312" w:cs="仿宋_GB2312"/>
          <w:sz w:val="32"/>
          <w:szCs w:val="32"/>
          <w:lang w:eastAsia="zh-CN"/>
        </w:rPr>
        <w:t>先通</w:t>
      </w:r>
      <w:r>
        <w:rPr>
          <w:rFonts w:hint="eastAsia" w:ascii="仿宋_GB2312" w:hAnsi="仿宋_GB2312" w:eastAsia="仿宋_GB2312" w:cs="仿宋_GB2312"/>
          <w:sz w:val="32"/>
          <w:szCs w:val="32"/>
        </w:rPr>
        <w:t>过复核系统再送审核。</w:t>
      </w:r>
    </w:p>
    <w:p w14:paraId="12E752CE">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智能复核系统功能清单如下。</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15"/>
        <w:gridCol w:w="1057"/>
        <w:gridCol w:w="4237"/>
        <w:gridCol w:w="1783"/>
      </w:tblGrid>
      <w:tr w14:paraId="430D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8" w:type="pct"/>
            <w:tcBorders>
              <w:tl2br w:val="nil"/>
            </w:tcBorders>
            <w:shd w:val="clear" w:color="auto" w:fill="FFFFFF"/>
            <w:noWrap/>
            <w:vAlign w:val="center"/>
          </w:tcPr>
          <w:p w14:paraId="794224EA">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序号</w:t>
            </w:r>
          </w:p>
        </w:tc>
        <w:tc>
          <w:tcPr>
            <w:tcW w:w="419" w:type="pct"/>
            <w:shd w:val="clear" w:color="auto" w:fill="FFFFFF"/>
            <w:noWrap/>
            <w:vAlign w:val="center"/>
          </w:tcPr>
          <w:p w14:paraId="2A356F94">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板块</w:t>
            </w:r>
          </w:p>
        </w:tc>
        <w:tc>
          <w:tcPr>
            <w:tcW w:w="620" w:type="pct"/>
            <w:shd w:val="clear" w:color="auto" w:fill="FFFFFF"/>
            <w:noWrap/>
            <w:vAlign w:val="center"/>
          </w:tcPr>
          <w:p w14:paraId="63F8E4D9">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功能名称</w:t>
            </w:r>
          </w:p>
        </w:tc>
        <w:tc>
          <w:tcPr>
            <w:tcW w:w="2485" w:type="pct"/>
            <w:shd w:val="clear" w:color="auto" w:fill="FFFFFF"/>
            <w:noWrap/>
            <w:vAlign w:val="center"/>
          </w:tcPr>
          <w:p w14:paraId="12093346">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功能描述</w:t>
            </w:r>
          </w:p>
        </w:tc>
        <w:tc>
          <w:tcPr>
            <w:tcW w:w="1045" w:type="pct"/>
            <w:shd w:val="clear" w:color="auto" w:fill="FFFFFF"/>
            <w:noWrap/>
            <w:vAlign w:val="center"/>
          </w:tcPr>
          <w:p w14:paraId="2C92838F">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目标</w:t>
            </w:r>
          </w:p>
        </w:tc>
      </w:tr>
      <w:tr w14:paraId="0539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8" w:type="pct"/>
            <w:shd w:val="clear" w:color="auto" w:fill="FFFFFF"/>
            <w:noWrap/>
            <w:vAlign w:val="center"/>
          </w:tcPr>
          <w:p w14:paraId="08A14C9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419" w:type="pct"/>
            <w:vMerge w:val="restart"/>
            <w:shd w:val="clear" w:color="auto" w:fill="FFFFFF"/>
            <w:noWrap/>
            <w:vAlign w:val="center"/>
          </w:tcPr>
          <w:p w14:paraId="6314628B">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复核规则管理</w:t>
            </w:r>
          </w:p>
        </w:tc>
        <w:tc>
          <w:tcPr>
            <w:tcW w:w="620" w:type="pct"/>
            <w:shd w:val="clear" w:color="auto" w:fill="FFFFFF"/>
            <w:noWrap/>
            <w:vAlign w:val="center"/>
          </w:tcPr>
          <w:p w14:paraId="5C99FD45">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复核规则定义</w:t>
            </w:r>
          </w:p>
        </w:tc>
        <w:tc>
          <w:tcPr>
            <w:tcW w:w="2485" w:type="pct"/>
            <w:shd w:val="clear" w:color="auto" w:fill="FFFFFF"/>
            <w:vAlign w:val="center"/>
          </w:tcPr>
          <w:p w14:paraId="2BA4174E">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color w:val="auto"/>
                <w:kern w:val="0"/>
                <w:sz w:val="24"/>
                <w:szCs w:val="24"/>
              </w:rPr>
              <w:t>允许</w:t>
            </w:r>
            <w:r>
              <w:rPr>
                <w:rFonts w:hint="eastAsia" w:ascii="仿宋_GB2312" w:hAnsi="仿宋_GB2312" w:eastAsia="仿宋_GB2312" w:cs="仿宋_GB2312"/>
                <w:b w:val="0"/>
                <w:bCs w:val="0"/>
                <w:color w:val="auto"/>
                <w:kern w:val="0"/>
                <w:sz w:val="24"/>
                <w:szCs w:val="24"/>
                <w:lang w:val="en-US" w:eastAsia="zh-CN"/>
              </w:rPr>
              <w:t>企业相关管理员</w:t>
            </w:r>
            <w:r>
              <w:rPr>
                <w:rFonts w:hint="eastAsia" w:ascii="仿宋_GB2312" w:hAnsi="仿宋_GB2312" w:eastAsia="仿宋_GB2312" w:cs="仿宋_GB2312"/>
                <w:b w:val="0"/>
                <w:bCs w:val="0"/>
                <w:color w:val="auto"/>
                <w:kern w:val="0"/>
                <w:sz w:val="24"/>
                <w:szCs w:val="24"/>
              </w:rPr>
              <w:t>根据造价行业标准规范、企业内部标准</w:t>
            </w:r>
            <w:r>
              <w:rPr>
                <w:rFonts w:hint="eastAsia" w:ascii="仿宋_GB2312" w:hAnsi="仿宋_GB2312" w:eastAsia="仿宋_GB2312" w:cs="仿宋_GB2312"/>
                <w:b w:val="0"/>
                <w:bCs w:val="0"/>
                <w:color w:val="auto"/>
                <w:kern w:val="0"/>
                <w:sz w:val="24"/>
                <w:szCs w:val="24"/>
                <w:lang w:eastAsia="zh-CN"/>
              </w:rPr>
              <w:t>（</w:t>
            </w:r>
            <w:r>
              <w:rPr>
                <w:rFonts w:hint="eastAsia" w:ascii="仿宋_GB2312" w:hAnsi="仿宋_GB2312" w:eastAsia="仿宋_GB2312" w:cs="仿宋_GB2312"/>
                <w:b w:val="0"/>
                <w:bCs w:val="0"/>
                <w:color w:val="auto"/>
                <w:kern w:val="0"/>
                <w:sz w:val="24"/>
                <w:szCs w:val="24"/>
                <w:lang w:val="en-US" w:eastAsia="zh-CN"/>
              </w:rPr>
              <w:t>若采用本企业标准，相关指标应当严于、高于行业标准）</w:t>
            </w:r>
            <w:r>
              <w:rPr>
                <w:rFonts w:hint="eastAsia" w:ascii="仿宋_GB2312" w:hAnsi="仿宋_GB2312" w:eastAsia="仿宋_GB2312" w:cs="仿宋_GB2312"/>
                <w:b w:val="0"/>
                <w:bCs w:val="0"/>
                <w:color w:val="auto"/>
                <w:kern w:val="0"/>
                <w:sz w:val="24"/>
                <w:szCs w:val="24"/>
              </w:rPr>
              <w:t>等，自定义复核的规则，如工程量计算规则、费用计取标准等，可设置规则的适用范围、触发条件等参数。</w:t>
            </w:r>
          </w:p>
        </w:tc>
        <w:tc>
          <w:tcPr>
            <w:tcW w:w="1045" w:type="pct"/>
            <w:shd w:val="clear" w:color="auto" w:fill="FFFFFF"/>
            <w:vAlign w:val="center"/>
          </w:tcPr>
          <w:p w14:paraId="3E3BA664">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建立灵活且符合企业需求的复核规则体系，为后续复核工作提供依据。</w:t>
            </w:r>
          </w:p>
        </w:tc>
      </w:tr>
      <w:tr w14:paraId="3637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8" w:type="pct"/>
            <w:shd w:val="clear" w:color="auto" w:fill="FFFFFF"/>
            <w:noWrap/>
            <w:vAlign w:val="center"/>
          </w:tcPr>
          <w:p w14:paraId="4C79D99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c>
          <w:tcPr>
            <w:tcW w:w="419" w:type="pct"/>
            <w:vMerge w:val="continue"/>
            <w:shd w:val="clear" w:color="auto" w:fill="FFFFFF"/>
            <w:noWrap/>
            <w:vAlign w:val="center"/>
          </w:tcPr>
          <w:p w14:paraId="76F7C67B">
            <w:pPr>
              <w:widowControl/>
              <w:jc w:val="center"/>
              <w:textAlignment w:val="center"/>
              <w:rPr>
                <w:rFonts w:hint="eastAsia" w:ascii="仿宋_GB2312" w:hAnsi="仿宋_GB2312" w:eastAsia="仿宋_GB2312" w:cs="仿宋_GB2312"/>
                <w:color w:val="000000"/>
                <w:kern w:val="0"/>
                <w:sz w:val="24"/>
                <w:szCs w:val="24"/>
              </w:rPr>
            </w:pPr>
          </w:p>
        </w:tc>
        <w:tc>
          <w:tcPr>
            <w:tcW w:w="620" w:type="pct"/>
            <w:shd w:val="clear" w:color="auto" w:fill="FFFFFF"/>
            <w:noWrap/>
            <w:vAlign w:val="center"/>
          </w:tcPr>
          <w:p w14:paraId="1B32BE6D">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复核规则测试</w:t>
            </w:r>
          </w:p>
        </w:tc>
        <w:tc>
          <w:tcPr>
            <w:tcW w:w="2485" w:type="pct"/>
            <w:shd w:val="clear" w:color="auto" w:fill="FFFFFF"/>
            <w:vAlign w:val="center"/>
          </w:tcPr>
          <w:p w14:paraId="416D3C10">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提供模拟环境，对新定义或修改后的复核规则进行测试，通过输入模拟数据，检验规则的准确性、合理性和有效性，查看规则执行后的反馈结果。</w:t>
            </w:r>
          </w:p>
        </w:tc>
        <w:tc>
          <w:tcPr>
            <w:tcW w:w="1045" w:type="pct"/>
            <w:shd w:val="clear" w:color="auto" w:fill="FFFFFF"/>
            <w:vAlign w:val="center"/>
          </w:tcPr>
          <w:p w14:paraId="47736670">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确保复核规则在正式应用前的正确性，避免因规则错误导致复核结果偏差。</w:t>
            </w:r>
          </w:p>
        </w:tc>
      </w:tr>
      <w:tr w14:paraId="5268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28" w:type="pct"/>
            <w:shd w:val="clear" w:color="auto" w:fill="FFFFFF"/>
            <w:noWrap/>
            <w:vAlign w:val="center"/>
          </w:tcPr>
          <w:p w14:paraId="46A245D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419" w:type="pct"/>
            <w:vMerge w:val="restart"/>
            <w:shd w:val="clear" w:color="auto" w:fill="FFFFFF"/>
            <w:noWrap/>
            <w:vAlign w:val="center"/>
          </w:tcPr>
          <w:p w14:paraId="34B29BB6">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合规性检查</w:t>
            </w:r>
          </w:p>
        </w:tc>
        <w:tc>
          <w:tcPr>
            <w:tcW w:w="620" w:type="pct"/>
            <w:shd w:val="clear" w:color="auto" w:fill="FFFFFF"/>
            <w:noWrap/>
            <w:vAlign w:val="center"/>
          </w:tcPr>
          <w:p w14:paraId="6AC91B45">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清单合规性检查</w:t>
            </w:r>
          </w:p>
        </w:tc>
        <w:tc>
          <w:tcPr>
            <w:tcW w:w="2485" w:type="pct"/>
            <w:shd w:val="clear" w:color="auto" w:fill="FFFFFF"/>
            <w:vAlign w:val="center"/>
          </w:tcPr>
          <w:p w14:paraId="53D37B9F">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依据国家及地方相关造价法规、规范，以及招标文件、合同约定等要求，对造价清单中的项目编码、项目名称、计量单位、工程量计算等内容进行合规性审核，检查是否存在违反规定的情况。</w:t>
            </w:r>
          </w:p>
        </w:tc>
        <w:tc>
          <w:tcPr>
            <w:tcW w:w="1045" w:type="pct"/>
            <w:shd w:val="clear" w:color="auto" w:fill="FFFFFF"/>
            <w:vAlign w:val="center"/>
          </w:tcPr>
          <w:p w14:paraId="3953403F">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保证造价清单符合法律法规及合同要求，规避合规风险，提高造价文件的合法性。</w:t>
            </w:r>
          </w:p>
        </w:tc>
      </w:tr>
      <w:tr w14:paraId="43F5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8" w:type="pct"/>
            <w:shd w:val="clear" w:color="auto" w:fill="FFFFFF"/>
            <w:noWrap/>
            <w:vAlign w:val="center"/>
          </w:tcPr>
          <w:p w14:paraId="18619716">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419" w:type="pct"/>
            <w:vMerge w:val="continue"/>
            <w:shd w:val="clear" w:color="auto" w:fill="FFFFFF"/>
            <w:noWrap/>
            <w:vAlign w:val="center"/>
          </w:tcPr>
          <w:p w14:paraId="7EBC0FA8">
            <w:pPr>
              <w:widowControl/>
              <w:jc w:val="center"/>
              <w:textAlignment w:val="center"/>
              <w:rPr>
                <w:rFonts w:hint="eastAsia" w:ascii="仿宋_GB2312" w:hAnsi="仿宋_GB2312" w:eastAsia="仿宋_GB2312" w:cs="仿宋_GB2312"/>
                <w:color w:val="000000"/>
                <w:kern w:val="0"/>
                <w:sz w:val="24"/>
                <w:szCs w:val="24"/>
              </w:rPr>
            </w:pPr>
          </w:p>
        </w:tc>
        <w:tc>
          <w:tcPr>
            <w:tcW w:w="620" w:type="pct"/>
            <w:shd w:val="clear" w:color="auto" w:fill="FFFFFF"/>
            <w:noWrap/>
            <w:vAlign w:val="center"/>
          </w:tcPr>
          <w:p w14:paraId="452E2F4C">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文件格式合规检查</w:t>
            </w:r>
          </w:p>
        </w:tc>
        <w:tc>
          <w:tcPr>
            <w:tcW w:w="2485" w:type="pct"/>
            <w:shd w:val="clear" w:color="auto" w:fill="FFFFFF"/>
            <w:vAlign w:val="center"/>
          </w:tcPr>
          <w:p w14:paraId="15BD46B4">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检查造价文件的格式是否符合企业内部规定或行业通用标准，如是否为指定的电子文档格式，表格结构、数据格式等是否规范。</w:t>
            </w:r>
          </w:p>
        </w:tc>
        <w:tc>
          <w:tcPr>
            <w:tcW w:w="1045" w:type="pct"/>
            <w:shd w:val="clear" w:color="auto" w:fill="FFFFFF"/>
            <w:vAlign w:val="center"/>
          </w:tcPr>
          <w:p w14:paraId="21866A2A">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确保造价文件格式统一、规范，便于数据的读取、处理和共享。</w:t>
            </w:r>
          </w:p>
        </w:tc>
      </w:tr>
      <w:tr w14:paraId="6F30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8" w:type="pct"/>
            <w:shd w:val="clear" w:color="auto" w:fill="FFFFFF"/>
            <w:noWrap/>
            <w:vAlign w:val="center"/>
          </w:tcPr>
          <w:p w14:paraId="33481E5E">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419" w:type="pct"/>
            <w:vMerge w:val="restart"/>
            <w:shd w:val="clear" w:color="auto" w:fill="FFFFFF"/>
            <w:noWrap/>
            <w:vAlign w:val="center"/>
          </w:tcPr>
          <w:p w14:paraId="4A029584">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合理性检查</w:t>
            </w:r>
          </w:p>
        </w:tc>
        <w:tc>
          <w:tcPr>
            <w:tcW w:w="620" w:type="pct"/>
            <w:shd w:val="clear" w:color="auto" w:fill="FFFFFF"/>
            <w:noWrap/>
            <w:vAlign w:val="center"/>
          </w:tcPr>
          <w:p w14:paraId="003410C0">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指标范围检查</w:t>
            </w:r>
          </w:p>
        </w:tc>
        <w:tc>
          <w:tcPr>
            <w:tcW w:w="2485" w:type="pct"/>
            <w:shd w:val="clear" w:color="auto" w:fill="FFFFFF"/>
            <w:vAlign w:val="center"/>
          </w:tcPr>
          <w:p w14:paraId="40A5BD8B">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根据历史项目数据、行业指标数据库等，设定各类造价指标（如单方造价、人工含量、材料消耗指标等）的合理范围，对当前项目的相应指标进行检查，判断是否在合理区间内。</w:t>
            </w:r>
          </w:p>
        </w:tc>
        <w:tc>
          <w:tcPr>
            <w:tcW w:w="1045" w:type="pct"/>
            <w:shd w:val="clear" w:color="auto" w:fill="FFFFFF"/>
            <w:vAlign w:val="center"/>
          </w:tcPr>
          <w:p w14:paraId="1611B7F7">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及时发现造价指标异常情况，辅助分析原因，提高造价的合理性与准确性。</w:t>
            </w:r>
          </w:p>
        </w:tc>
      </w:tr>
      <w:tr w14:paraId="5E3E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trPr>
        <w:tc>
          <w:tcPr>
            <w:tcW w:w="428" w:type="pct"/>
            <w:shd w:val="clear" w:color="auto" w:fill="FFFFFF"/>
            <w:noWrap/>
            <w:vAlign w:val="center"/>
          </w:tcPr>
          <w:p w14:paraId="48C0622C">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419" w:type="pct"/>
            <w:vMerge w:val="continue"/>
            <w:shd w:val="clear" w:color="auto" w:fill="FFFFFF"/>
            <w:noWrap/>
            <w:vAlign w:val="center"/>
          </w:tcPr>
          <w:p w14:paraId="5A11C98A">
            <w:pPr>
              <w:widowControl/>
              <w:jc w:val="center"/>
              <w:textAlignment w:val="center"/>
              <w:rPr>
                <w:rFonts w:hint="eastAsia" w:ascii="仿宋_GB2312" w:hAnsi="仿宋_GB2312" w:eastAsia="仿宋_GB2312" w:cs="仿宋_GB2312"/>
                <w:color w:val="000000"/>
                <w:kern w:val="0"/>
                <w:sz w:val="24"/>
                <w:szCs w:val="24"/>
              </w:rPr>
            </w:pPr>
          </w:p>
        </w:tc>
        <w:tc>
          <w:tcPr>
            <w:tcW w:w="620" w:type="pct"/>
            <w:shd w:val="clear" w:color="auto" w:fill="FFFFFF"/>
            <w:noWrap/>
            <w:vAlign w:val="center"/>
          </w:tcPr>
          <w:p w14:paraId="0664E81D">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清单范围检查</w:t>
            </w:r>
          </w:p>
        </w:tc>
        <w:tc>
          <w:tcPr>
            <w:tcW w:w="2485" w:type="pct"/>
            <w:shd w:val="clear" w:color="auto" w:fill="FFFFFF"/>
            <w:vAlign w:val="center"/>
          </w:tcPr>
          <w:p w14:paraId="29FAE2AA">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对比项目的设计文件、施工方案等资料，检查造价清单涵盖的项目内容是否完整、合理，有无漏项、重项情况，以及清单项目与实际工程内容是否匹配。</w:t>
            </w:r>
          </w:p>
        </w:tc>
        <w:tc>
          <w:tcPr>
            <w:tcW w:w="1045" w:type="pct"/>
            <w:shd w:val="clear" w:color="auto" w:fill="FFFFFF"/>
            <w:vAlign w:val="center"/>
          </w:tcPr>
          <w:p w14:paraId="630B2496">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保证造价清单准确反映项目实际内容，避免因清单范围不合理导致造价偏差。</w:t>
            </w:r>
          </w:p>
        </w:tc>
      </w:tr>
      <w:tr w14:paraId="4FE6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8" w:type="pct"/>
            <w:shd w:val="clear" w:color="auto" w:fill="FFFFFF"/>
            <w:noWrap/>
            <w:vAlign w:val="center"/>
          </w:tcPr>
          <w:p w14:paraId="3B2A5D09">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419" w:type="pct"/>
            <w:vMerge w:val="continue"/>
            <w:shd w:val="clear" w:color="auto" w:fill="FFFFFF"/>
            <w:noWrap/>
            <w:vAlign w:val="center"/>
          </w:tcPr>
          <w:p w14:paraId="430F6003">
            <w:pPr>
              <w:widowControl/>
              <w:jc w:val="center"/>
              <w:textAlignment w:val="center"/>
              <w:rPr>
                <w:rFonts w:hint="eastAsia" w:ascii="仿宋_GB2312" w:hAnsi="仿宋_GB2312" w:eastAsia="仿宋_GB2312" w:cs="仿宋_GB2312"/>
                <w:color w:val="000000"/>
                <w:kern w:val="0"/>
                <w:sz w:val="24"/>
                <w:szCs w:val="24"/>
              </w:rPr>
            </w:pPr>
          </w:p>
        </w:tc>
        <w:tc>
          <w:tcPr>
            <w:tcW w:w="620" w:type="pct"/>
            <w:shd w:val="clear" w:color="auto" w:fill="FFFFFF"/>
            <w:noWrap/>
            <w:vAlign w:val="center"/>
          </w:tcPr>
          <w:p w14:paraId="00C99426">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内部逻辑检查</w:t>
            </w:r>
          </w:p>
        </w:tc>
        <w:tc>
          <w:tcPr>
            <w:tcW w:w="2485" w:type="pct"/>
            <w:shd w:val="clear" w:color="auto" w:fill="FFFFFF"/>
            <w:vAlign w:val="center"/>
          </w:tcPr>
          <w:p w14:paraId="28010582">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检查造价文件中各项数据之间的逻辑关系，如分部分项工程费与措施项目费的比例关系、不同专业工程费用之间的关联等，判断数据逻辑是否正确。</w:t>
            </w:r>
          </w:p>
        </w:tc>
        <w:tc>
          <w:tcPr>
            <w:tcW w:w="1045" w:type="pct"/>
            <w:shd w:val="clear" w:color="auto" w:fill="FFFFFF"/>
            <w:vAlign w:val="center"/>
          </w:tcPr>
          <w:p w14:paraId="7BBB3632">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确保造价文件数据逻辑的一致性和准确性，避免出现数据矛盾或错误。</w:t>
            </w:r>
          </w:p>
        </w:tc>
      </w:tr>
      <w:tr w14:paraId="528C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8" w:type="pct"/>
            <w:shd w:val="clear" w:color="auto" w:fill="FFFFFF"/>
            <w:noWrap/>
            <w:vAlign w:val="center"/>
          </w:tcPr>
          <w:p w14:paraId="078057AF">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419" w:type="pct"/>
            <w:shd w:val="clear" w:color="auto" w:fill="FFFFFF"/>
            <w:noWrap/>
            <w:vAlign w:val="center"/>
          </w:tcPr>
          <w:p w14:paraId="104147CF">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差异性检查</w:t>
            </w:r>
          </w:p>
        </w:tc>
        <w:tc>
          <w:tcPr>
            <w:tcW w:w="620" w:type="pct"/>
            <w:shd w:val="clear" w:color="auto" w:fill="FFFFFF"/>
            <w:noWrap/>
            <w:vAlign w:val="center"/>
          </w:tcPr>
          <w:p w14:paraId="274247F4">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清单差异检查</w:t>
            </w:r>
          </w:p>
        </w:tc>
        <w:tc>
          <w:tcPr>
            <w:tcW w:w="2485" w:type="pct"/>
            <w:shd w:val="clear" w:color="auto" w:fill="FFFFFF"/>
            <w:vAlign w:val="center"/>
          </w:tcPr>
          <w:p w14:paraId="26A13EE4">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将当前造价清单与类似历史项目清单</w:t>
            </w:r>
            <w:r>
              <w:rPr>
                <w:rFonts w:hint="eastAsia" w:ascii="仿宋_GB2312" w:hAnsi="仿宋_GB2312" w:eastAsia="仿宋_GB2312" w:cs="仿宋_GB2312"/>
                <w:color w:val="000000"/>
                <w:kern w:val="0"/>
                <w:sz w:val="24"/>
                <w:szCs w:val="24"/>
                <w:lang w:eastAsia="zh-CN"/>
              </w:rPr>
              <w:t>或</w:t>
            </w:r>
            <w:r>
              <w:rPr>
                <w:rFonts w:hint="eastAsia" w:ascii="仿宋_GB2312" w:hAnsi="仿宋_GB2312" w:eastAsia="仿宋_GB2312" w:cs="仿宋_GB2312"/>
                <w:color w:val="000000"/>
                <w:kern w:val="0"/>
                <w:sz w:val="24"/>
                <w:szCs w:val="24"/>
              </w:rPr>
              <w:t>不同版本的清单进行对比，分析在项目组成、工程量、综合单价等方面的差异，并生成差异报告。</w:t>
            </w:r>
          </w:p>
        </w:tc>
        <w:tc>
          <w:tcPr>
            <w:tcW w:w="1045" w:type="pct"/>
            <w:shd w:val="clear" w:color="auto" w:fill="FFFFFF"/>
            <w:vAlign w:val="center"/>
          </w:tcPr>
          <w:p w14:paraId="6EF3CAF2">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快速定位清单变化点，分析差异原因，为造价调整和决策提供参考。</w:t>
            </w:r>
          </w:p>
        </w:tc>
      </w:tr>
      <w:tr w14:paraId="1C4B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8" w:type="pct"/>
            <w:shd w:val="clear" w:color="auto" w:fill="FFFFFF"/>
            <w:noWrap/>
            <w:vAlign w:val="center"/>
          </w:tcPr>
          <w:p w14:paraId="18BCDA26">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419" w:type="pct"/>
            <w:shd w:val="clear" w:color="auto" w:fill="FFFFFF"/>
            <w:noWrap/>
            <w:vAlign w:val="center"/>
          </w:tcPr>
          <w:p w14:paraId="7544254E">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模拟分析</w:t>
            </w:r>
          </w:p>
        </w:tc>
        <w:tc>
          <w:tcPr>
            <w:tcW w:w="620" w:type="pct"/>
            <w:shd w:val="clear" w:color="auto" w:fill="FFFFFF"/>
            <w:noWrap/>
            <w:vAlign w:val="center"/>
          </w:tcPr>
          <w:p w14:paraId="2921C372">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模拟清单</w:t>
            </w:r>
          </w:p>
        </w:tc>
        <w:tc>
          <w:tcPr>
            <w:tcW w:w="2485" w:type="pct"/>
            <w:shd w:val="clear" w:color="auto" w:fill="FFFFFF"/>
            <w:vAlign w:val="center"/>
          </w:tcPr>
          <w:p w14:paraId="30593670">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根据不同的假设条件（如不同的施工方案、材料选用等），生成多套模拟造价清单，对比分析不同方案下的造价差异，为方案优选提供数据支持。</w:t>
            </w:r>
          </w:p>
        </w:tc>
        <w:tc>
          <w:tcPr>
            <w:tcW w:w="1045" w:type="pct"/>
            <w:shd w:val="clear" w:color="auto" w:fill="FFFFFF"/>
            <w:vAlign w:val="center"/>
          </w:tcPr>
          <w:p w14:paraId="3F2B412D">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为项目前期方案优化提供量化分析手段，帮助企业选择经济合理的项目实施方案。</w:t>
            </w:r>
          </w:p>
        </w:tc>
      </w:tr>
    </w:tbl>
    <w:p w14:paraId="347CBF73">
      <w:pPr>
        <w:pStyle w:val="6"/>
        <w:pageBreakBefore w:val="0"/>
        <w:widowControl w:val="0"/>
        <w:kinsoku/>
        <w:wordWrap/>
        <w:overflowPunct/>
        <w:topLinePunct w:val="0"/>
        <w:autoSpaceDE/>
        <w:autoSpaceDN/>
        <w:bidi w:val="0"/>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2.3.</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 xml:space="preserve"> 以投资控制为核心的全过程</w:t>
      </w:r>
      <w:r>
        <w:rPr>
          <w:rFonts w:hint="eastAsia" w:ascii="仿宋_GB2312" w:hAnsi="仿宋_GB2312" w:eastAsia="仿宋_GB2312" w:cs="仿宋_GB2312"/>
          <w:bCs/>
          <w:color w:val="auto"/>
          <w:sz w:val="32"/>
          <w:szCs w:val="32"/>
        </w:rPr>
        <w:t>工程咨询</w:t>
      </w:r>
      <w:r>
        <w:rPr>
          <w:rFonts w:hint="eastAsia" w:ascii="仿宋_GB2312" w:hAnsi="仿宋_GB2312" w:eastAsia="仿宋_GB2312" w:cs="仿宋_GB2312"/>
          <w:bCs/>
          <w:sz w:val="32"/>
          <w:szCs w:val="32"/>
        </w:rPr>
        <w:t>服务平台</w:t>
      </w:r>
    </w:p>
    <w:p w14:paraId="7E3C7443">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以投资控制为核心的全过</w:t>
      </w:r>
      <w:r>
        <w:rPr>
          <w:rFonts w:hint="eastAsia" w:ascii="仿宋_GB2312" w:hAnsi="仿宋_GB2312" w:eastAsia="仿宋_GB2312" w:cs="仿宋_GB2312"/>
          <w:color w:val="auto"/>
          <w:sz w:val="32"/>
          <w:szCs w:val="32"/>
        </w:rPr>
        <w:t>程</w:t>
      </w:r>
      <w:r>
        <w:rPr>
          <w:rFonts w:hint="eastAsia" w:ascii="仿宋_GB2312" w:hAnsi="仿宋_GB2312" w:eastAsia="仿宋_GB2312" w:cs="仿宋_GB2312"/>
          <w:b w:val="0"/>
          <w:bCs w:val="0"/>
          <w:color w:val="auto"/>
          <w:sz w:val="32"/>
          <w:szCs w:val="32"/>
        </w:rPr>
        <w:t>工程</w:t>
      </w:r>
      <w:r>
        <w:rPr>
          <w:rFonts w:hint="eastAsia" w:ascii="仿宋_GB2312" w:hAnsi="仿宋_GB2312" w:eastAsia="仿宋_GB2312" w:cs="仿宋_GB2312"/>
          <w:color w:val="auto"/>
          <w:sz w:val="32"/>
          <w:szCs w:val="32"/>
        </w:rPr>
        <w:t>咨</w:t>
      </w:r>
      <w:r>
        <w:rPr>
          <w:rFonts w:hint="eastAsia" w:ascii="仿宋_GB2312" w:hAnsi="仿宋_GB2312" w:eastAsia="仿宋_GB2312" w:cs="仿宋_GB2312"/>
          <w:sz w:val="32"/>
          <w:szCs w:val="32"/>
        </w:rPr>
        <w:t>询平台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是造价咨询企业通过数字化转型提升服务价值的重要工具，是跳出传统造价咨询服务模式</w:t>
      </w:r>
      <w:r>
        <w:rPr>
          <w:rFonts w:hint="eastAsia" w:ascii="仿宋_GB2312" w:hAnsi="仿宋_GB2312" w:eastAsia="仿宋_GB2312" w:cs="仿宋_GB2312"/>
          <w:sz w:val="32"/>
          <w:szCs w:val="32"/>
          <w:lang w:val="en-US" w:eastAsia="zh-CN"/>
        </w:rPr>
        <w:t>实现咨询业态转型</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必然选择</w:t>
      </w:r>
      <w:r>
        <w:rPr>
          <w:rFonts w:hint="eastAsia" w:ascii="仿宋_GB2312" w:hAnsi="仿宋_GB2312" w:eastAsia="仿宋_GB2312" w:cs="仿宋_GB2312"/>
          <w:sz w:val="32"/>
          <w:szCs w:val="32"/>
        </w:rPr>
        <w:t>。</w:t>
      </w:r>
    </w:p>
    <w:p w14:paraId="476B1BCF">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搭建</w:t>
      </w:r>
      <w:r>
        <w:rPr>
          <w:rFonts w:hint="eastAsia" w:ascii="仿宋_GB2312" w:hAnsi="仿宋_GB2312" w:eastAsia="仿宋_GB2312" w:cs="仿宋_GB2312"/>
          <w:sz w:val="32"/>
          <w:szCs w:val="32"/>
        </w:rPr>
        <w:t>以投资控制为核心的</w:t>
      </w:r>
      <w:r>
        <w:rPr>
          <w:rFonts w:hint="eastAsia" w:ascii="仿宋_GB2312" w:hAnsi="仿宋_GB2312" w:eastAsia="仿宋_GB2312" w:cs="仿宋_GB2312"/>
          <w:color w:val="auto"/>
          <w:sz w:val="32"/>
          <w:szCs w:val="32"/>
        </w:rPr>
        <w:t>全过程工程咨询服务平台，该平台以五算（估算、概算、预算、结算、决算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为主线，以项目管理</w:t>
      </w:r>
      <w:r>
        <w:rPr>
          <w:rFonts w:hint="eastAsia" w:ascii="仿宋_GB2312" w:hAnsi="仿宋_GB2312" w:eastAsia="仿宋_GB2312" w:cs="仿宋_GB2312"/>
          <w:color w:val="auto"/>
          <w:sz w:val="32"/>
          <w:szCs w:val="32"/>
          <w:lang w:val="en-US" w:eastAsia="zh-CN"/>
        </w:rPr>
        <w:t>咨询</w:t>
      </w:r>
      <w:r>
        <w:rPr>
          <w:rFonts w:hint="eastAsia" w:ascii="仿宋_GB2312" w:hAnsi="仿宋_GB2312" w:eastAsia="仿宋_GB2312" w:cs="仿宋_GB2312"/>
          <w:color w:val="auto"/>
          <w:sz w:val="32"/>
          <w:szCs w:val="32"/>
        </w:rPr>
        <w:t>引领“工程设计、投资决策咨询、工程造价咨询、招标代理、工程监理”的深度融合，通过数字技术实现实时的动态投资控制、快速方案比对、完工成本预测、投资成本跟踪、合同跟踪、实时跟踪统计、成本数据协同共享、测算版本管理等功能。</w:t>
      </w:r>
    </w:p>
    <w:p w14:paraId="7213706A">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为了降低实施全过程工程咨询服务平台应用的门槛，企业可以先在内部推行全过程造价咨询项目中的应用，再推行多参与方、多专业</w:t>
      </w:r>
      <w:r>
        <w:rPr>
          <w:rFonts w:hint="eastAsia" w:ascii="仿宋_GB2312" w:hAnsi="仿宋_GB2312" w:eastAsia="仿宋_GB2312" w:cs="仿宋_GB2312"/>
          <w:color w:val="auto"/>
          <w:sz w:val="32"/>
          <w:szCs w:val="32"/>
          <w:lang w:val="en-US" w:eastAsia="zh-CN"/>
        </w:rPr>
        <w:t>融合</w:t>
      </w:r>
      <w:r>
        <w:rPr>
          <w:rFonts w:hint="eastAsia" w:ascii="仿宋_GB2312" w:hAnsi="仿宋_GB2312" w:eastAsia="仿宋_GB2312" w:cs="仿宋_GB2312"/>
          <w:color w:val="auto"/>
          <w:sz w:val="32"/>
          <w:szCs w:val="32"/>
        </w:rPr>
        <w:t>的协同管理。</w:t>
      </w:r>
    </w:p>
    <w:p w14:paraId="058C143E">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标志性成果：</w:t>
      </w:r>
      <w:r>
        <w:rPr>
          <w:rFonts w:hint="eastAsia" w:ascii="仿宋_GB2312" w:hAnsi="仿宋_GB2312" w:eastAsia="仿宋_GB2312" w:cs="仿宋_GB2312"/>
          <w:color w:val="auto"/>
          <w:sz w:val="32"/>
          <w:szCs w:val="32"/>
        </w:rPr>
        <w:t>率先实现全过程造价咨询项目全流程在线管理，再逐步实现“多参与方、多专业</w:t>
      </w:r>
      <w:r>
        <w:rPr>
          <w:rFonts w:hint="eastAsia" w:ascii="仿宋_GB2312" w:hAnsi="仿宋_GB2312" w:eastAsia="仿宋_GB2312" w:cs="仿宋_GB2312"/>
          <w:color w:val="auto"/>
          <w:sz w:val="32"/>
          <w:szCs w:val="32"/>
          <w:lang w:val="en-US" w:eastAsia="zh-CN"/>
        </w:rPr>
        <w:t>融合</w:t>
      </w:r>
      <w:r>
        <w:rPr>
          <w:rFonts w:hint="eastAsia" w:ascii="仿宋_GB2312" w:hAnsi="仿宋_GB2312" w:eastAsia="仿宋_GB2312" w:cs="仿宋_GB2312"/>
          <w:color w:val="auto"/>
          <w:sz w:val="32"/>
          <w:szCs w:val="32"/>
        </w:rPr>
        <w:t>”的全过程工程咨询在线管理。</w:t>
      </w:r>
    </w:p>
    <w:p w14:paraId="478A96FA">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以投资控制为核心的全过程工程咨询服务平台功能清单如下。</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636"/>
        <w:gridCol w:w="992"/>
        <w:gridCol w:w="4203"/>
        <w:gridCol w:w="2073"/>
      </w:tblGrid>
      <w:tr w14:paraId="3F04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62" w:type="pct"/>
            <w:tcBorders>
              <w:tl2br w:val="nil"/>
            </w:tcBorders>
            <w:shd w:val="clear" w:color="auto" w:fill="FFFFFF"/>
            <w:noWrap/>
            <w:vAlign w:val="center"/>
          </w:tcPr>
          <w:p w14:paraId="630DD03F">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rPr>
              <w:t>序号</w:t>
            </w:r>
          </w:p>
        </w:tc>
        <w:tc>
          <w:tcPr>
            <w:tcW w:w="373" w:type="pct"/>
            <w:shd w:val="clear" w:color="auto" w:fill="FFFFFF"/>
            <w:noWrap/>
            <w:vAlign w:val="center"/>
          </w:tcPr>
          <w:p w14:paraId="06D107CE">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rPr>
              <w:t>板块</w:t>
            </w:r>
          </w:p>
        </w:tc>
        <w:tc>
          <w:tcPr>
            <w:tcW w:w="582" w:type="pct"/>
            <w:shd w:val="clear" w:color="auto" w:fill="FFFFFF"/>
            <w:noWrap/>
            <w:vAlign w:val="center"/>
          </w:tcPr>
          <w:p w14:paraId="51074967">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rPr>
              <w:t>功能名称</w:t>
            </w:r>
          </w:p>
        </w:tc>
        <w:tc>
          <w:tcPr>
            <w:tcW w:w="2465" w:type="pct"/>
            <w:shd w:val="clear" w:color="auto" w:fill="FFFFFF"/>
            <w:noWrap/>
            <w:vAlign w:val="center"/>
          </w:tcPr>
          <w:p w14:paraId="618B1A8B">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rPr>
              <w:t>功能说明</w:t>
            </w:r>
          </w:p>
        </w:tc>
        <w:tc>
          <w:tcPr>
            <w:tcW w:w="1216" w:type="pct"/>
            <w:shd w:val="clear" w:color="auto" w:fill="FFFFFF"/>
            <w:noWrap/>
            <w:vAlign w:val="center"/>
          </w:tcPr>
          <w:p w14:paraId="77E12239">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目标</w:t>
            </w:r>
          </w:p>
        </w:tc>
      </w:tr>
      <w:tr w14:paraId="0801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62" w:type="pct"/>
            <w:shd w:val="clear" w:color="auto" w:fill="FFFFFF"/>
            <w:noWrap/>
            <w:vAlign w:val="center"/>
          </w:tcPr>
          <w:p w14:paraId="3218569C">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1</w:t>
            </w:r>
          </w:p>
        </w:tc>
        <w:tc>
          <w:tcPr>
            <w:tcW w:w="373" w:type="pct"/>
            <w:vMerge w:val="restart"/>
            <w:shd w:val="clear" w:color="auto" w:fill="FFFFFF"/>
            <w:noWrap/>
            <w:vAlign w:val="center"/>
          </w:tcPr>
          <w:p w14:paraId="12BA52D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项目信息</w:t>
            </w:r>
          </w:p>
        </w:tc>
        <w:tc>
          <w:tcPr>
            <w:tcW w:w="582" w:type="pct"/>
            <w:shd w:val="clear" w:color="auto" w:fill="FFFFFF"/>
            <w:noWrap/>
            <w:vAlign w:val="center"/>
          </w:tcPr>
          <w:p w14:paraId="7FEF89D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项目基础信息</w:t>
            </w:r>
          </w:p>
        </w:tc>
        <w:tc>
          <w:tcPr>
            <w:tcW w:w="2465" w:type="pct"/>
            <w:shd w:val="clear" w:color="auto" w:fill="FFFFFF"/>
            <w:vAlign w:val="center"/>
          </w:tcPr>
          <w:p w14:paraId="0F65946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基本信息录入：支持项目名称、项目编码、建设地点、建设规模、项目类型（房建、市政、交通等）、建设单位、项目负责人等基础信息的录入与编辑，确保项目基本情况一目了然。​</w:t>
            </w:r>
          </w:p>
          <w:p w14:paraId="2282919C">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干系人管理：记录项目参与各方（设计单位、施工单位、监理单位</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若另行委托</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、供应商等）的详细信息，包括联系人、联系方式、资质等级等，便于各方协同沟通与管理。​</w:t>
            </w:r>
          </w:p>
          <w:p w14:paraId="502D95E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项目结构分解：采用 WBS（工作分解结构）方法，将项目分解为多个层级的子项目或工作包，明确各部分的工作内容与责任主体，为后续的造价管理与进度跟踪奠定基础。​</w:t>
            </w:r>
          </w:p>
          <w:p w14:paraId="32F51D1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关键时间节点设置：定义项目的立项时间、设计周期、施工工期、验收时间等关键节点，自动生成项目进度计划甘特图，直观展示项目进度安排。</w:t>
            </w:r>
          </w:p>
        </w:tc>
        <w:tc>
          <w:tcPr>
            <w:tcW w:w="1216" w:type="pct"/>
            <w:shd w:val="clear" w:color="auto" w:fill="FFFFFF"/>
            <w:vAlign w:val="center"/>
          </w:tcPr>
          <w:p w14:paraId="10FBBEAC">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实现项目基础信息的标准化录入与统一管理，为后续造价管理提供准确的数据基础。</w:t>
            </w:r>
          </w:p>
        </w:tc>
      </w:tr>
      <w:tr w14:paraId="65BA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62" w:type="pct"/>
            <w:shd w:val="clear" w:color="auto" w:fill="FFFFFF"/>
            <w:noWrap/>
            <w:vAlign w:val="center"/>
          </w:tcPr>
          <w:p w14:paraId="1B9D83D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w:t>
            </w:r>
          </w:p>
        </w:tc>
        <w:tc>
          <w:tcPr>
            <w:tcW w:w="373" w:type="pct"/>
            <w:vMerge w:val="continue"/>
            <w:shd w:val="clear" w:color="auto" w:fill="FFFFFF"/>
            <w:noWrap/>
            <w:vAlign w:val="center"/>
          </w:tcPr>
          <w:p w14:paraId="3DD00FD1">
            <w:pPr>
              <w:jc w:val="center"/>
              <w:rPr>
                <w:rFonts w:hint="eastAsia" w:ascii="仿宋_GB2312" w:hAnsi="仿宋_GB2312" w:eastAsia="仿宋_GB2312" w:cs="仿宋_GB2312"/>
                <w:color w:val="auto"/>
                <w:sz w:val="24"/>
                <w:szCs w:val="24"/>
              </w:rPr>
            </w:pPr>
          </w:p>
        </w:tc>
        <w:tc>
          <w:tcPr>
            <w:tcW w:w="582" w:type="pct"/>
            <w:shd w:val="clear" w:color="auto" w:fill="FFFFFF"/>
            <w:noWrap/>
            <w:vAlign w:val="center"/>
          </w:tcPr>
          <w:p w14:paraId="20E1AAFB">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项目造价统计分析</w:t>
            </w:r>
          </w:p>
        </w:tc>
        <w:tc>
          <w:tcPr>
            <w:tcW w:w="2465" w:type="pct"/>
            <w:shd w:val="clear" w:color="auto" w:fill="FFFFFF"/>
            <w:vAlign w:val="center"/>
          </w:tcPr>
          <w:p w14:paraId="0BC9223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多维度造价统计：按项目阶段（投资估算、设计概算、施工图预算、招标控制价、</w:t>
            </w:r>
            <w:r>
              <w:rPr>
                <w:rFonts w:hint="eastAsia" w:ascii="仿宋_GB2312" w:hAnsi="仿宋_GB2312" w:eastAsia="仿宋_GB2312" w:cs="仿宋_GB2312"/>
                <w:color w:val="auto"/>
                <w:sz w:val="24"/>
                <w:szCs w:val="24"/>
                <w:lang w:val="en-US" w:eastAsia="zh-CN"/>
              </w:rPr>
              <w:t>签约合同价、施工过程结算、</w:t>
            </w:r>
            <w:r>
              <w:rPr>
                <w:rFonts w:hint="eastAsia" w:ascii="仿宋_GB2312" w:hAnsi="仿宋_GB2312" w:eastAsia="仿宋_GB2312" w:cs="仿宋_GB2312"/>
                <w:color w:val="auto"/>
                <w:sz w:val="24"/>
                <w:szCs w:val="24"/>
              </w:rPr>
              <w:t>竣工结算）、费用类别（建安工程费、设备购置费、工程建设其他费等）、项目结构等维度，对造价数据进行分类统计，生成各类统计报表与可视化图表，如柱状图、折线图、饼图，直观呈现造价构成与变化趋势。​</w:t>
            </w:r>
          </w:p>
          <w:p w14:paraId="6DF6732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动态成本监控：实时汇总各环节产生的成本数据，与目标成本进行对比分析，当成本出现偏差时，自动发出预警提醒，并展示偏差原因及影响范围，帮助管理人员及时采取措施控制成本。​</w:t>
            </w:r>
          </w:p>
          <w:p w14:paraId="77BFF43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历史项目对比分析：将当前项目的造价数据与历史类似项目进行对比，分析指标差异，总结经验教训，为当前项目的造价优化提供参考依据。​</w:t>
            </w:r>
          </w:p>
          <w:p w14:paraId="061B849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成本预测与趋势分析：基于已发生成本数据和项目进展情况，运用数据分析模型和算法，预测项目后续成本走势，为投资决策提供前瞻性支持。</w:t>
            </w:r>
          </w:p>
        </w:tc>
        <w:tc>
          <w:tcPr>
            <w:tcW w:w="1216" w:type="pct"/>
            <w:shd w:val="clear" w:color="auto" w:fill="FFFFFF"/>
            <w:vAlign w:val="center"/>
          </w:tcPr>
          <w:p w14:paraId="7E2B180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帮助管理者从多个角度洞察造价数据，为投资决策提供全面的数据支持。</w:t>
            </w:r>
          </w:p>
          <w:p w14:paraId="7D70B16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实现对项目成本的实时动态监控，及时发现并纠正成本偏差，确保投资控制在预算范围内。</w:t>
            </w:r>
          </w:p>
          <w:p w14:paraId="6955C70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借鉴历史项目经验，优化当前项目造价管理策略，提升造价管理水平。</w:t>
            </w:r>
          </w:p>
          <w:p w14:paraId="3B230C7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提前预判成本变化趋势，为项目投资决策提供前瞻性依据，规避潜在成本风险。</w:t>
            </w:r>
          </w:p>
        </w:tc>
      </w:tr>
      <w:tr w14:paraId="3F7D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62" w:type="pct"/>
            <w:shd w:val="clear" w:color="auto" w:fill="FFFFFF"/>
            <w:noWrap/>
            <w:vAlign w:val="center"/>
          </w:tcPr>
          <w:p w14:paraId="1C7EEBBA">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373" w:type="pct"/>
            <w:vMerge w:val="restart"/>
            <w:shd w:val="clear" w:color="auto" w:fill="FFFFFF"/>
            <w:noWrap/>
            <w:vAlign w:val="center"/>
          </w:tcPr>
          <w:p w14:paraId="3B8F772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造价管理</w:t>
            </w:r>
          </w:p>
        </w:tc>
        <w:tc>
          <w:tcPr>
            <w:tcW w:w="582" w:type="pct"/>
            <w:shd w:val="clear" w:color="auto" w:fill="FFFFFF"/>
            <w:noWrap/>
            <w:vAlign w:val="center"/>
          </w:tcPr>
          <w:p w14:paraId="600F89CE">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投资估算</w:t>
            </w:r>
          </w:p>
        </w:tc>
        <w:tc>
          <w:tcPr>
            <w:tcW w:w="2465" w:type="pct"/>
            <w:shd w:val="clear" w:color="auto" w:fill="FFFFFF"/>
            <w:vAlign w:val="center"/>
          </w:tcPr>
          <w:p w14:paraId="3DDB7B9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快速估算模板：提供多种类型项目的投资估算模板，支持用户根据项目特点选择模板并快速录入基础数据，系统自动计算投资估算结果。​</w:t>
            </w:r>
          </w:p>
          <w:p w14:paraId="11CEF1C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估算指标库调用：连接企业内部的估算指标库，用户可直接调用历史项目的估算指标数据，结合当前项目情况进行调整，提高估算的准确性和效率。多方案比选：支持用户创建多个投资估算方案，对不同方案的造价数据进行对比分析，辅助业主选择最优投资方案。</w:t>
            </w:r>
          </w:p>
        </w:tc>
        <w:tc>
          <w:tcPr>
            <w:tcW w:w="1216" w:type="pct"/>
            <w:shd w:val="clear" w:color="auto" w:fill="FFFFFF"/>
            <w:vAlign w:val="center"/>
          </w:tcPr>
          <w:p w14:paraId="07CF684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提高投资估算的编制效率，为项目前期决策提供及时的造价参考。</w:t>
            </w:r>
          </w:p>
        </w:tc>
      </w:tr>
      <w:tr w14:paraId="6EC1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62" w:type="pct"/>
            <w:shd w:val="clear" w:color="auto" w:fill="FFFFFF"/>
            <w:noWrap/>
            <w:vAlign w:val="center"/>
          </w:tcPr>
          <w:p w14:paraId="54666F9F">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373" w:type="pct"/>
            <w:vMerge w:val="continue"/>
            <w:shd w:val="clear" w:color="auto" w:fill="FFFFFF"/>
            <w:noWrap/>
            <w:vAlign w:val="center"/>
          </w:tcPr>
          <w:p w14:paraId="2C12A9A6">
            <w:pPr>
              <w:widowControl/>
              <w:jc w:val="center"/>
              <w:textAlignment w:val="center"/>
              <w:rPr>
                <w:rFonts w:hint="eastAsia" w:ascii="仿宋_GB2312" w:hAnsi="仿宋_GB2312" w:eastAsia="仿宋_GB2312" w:cs="仿宋_GB2312"/>
                <w:color w:val="auto"/>
                <w:sz w:val="24"/>
                <w:szCs w:val="24"/>
              </w:rPr>
            </w:pPr>
          </w:p>
        </w:tc>
        <w:tc>
          <w:tcPr>
            <w:tcW w:w="582" w:type="pct"/>
            <w:shd w:val="clear" w:color="auto" w:fill="FFFFFF"/>
            <w:noWrap/>
            <w:vAlign w:val="center"/>
          </w:tcPr>
          <w:p w14:paraId="40B8FB5F">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设计概算</w:t>
            </w:r>
          </w:p>
        </w:tc>
        <w:tc>
          <w:tcPr>
            <w:tcW w:w="2465" w:type="pct"/>
            <w:shd w:val="clear" w:color="auto" w:fill="FFFFFF"/>
            <w:vAlign w:val="center"/>
          </w:tcPr>
          <w:p w14:paraId="6DC9F73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概算编制与审核：依据设计图纸和相关规范，进行设计概算的</w:t>
            </w:r>
            <w:r>
              <w:rPr>
                <w:rFonts w:hint="eastAsia" w:ascii="仿宋_GB2312" w:hAnsi="仿宋_GB2312" w:eastAsia="仿宋_GB2312" w:cs="仿宋_GB2312"/>
                <w:color w:val="auto"/>
                <w:sz w:val="24"/>
                <w:szCs w:val="24"/>
                <w:lang w:val="en-US" w:eastAsia="zh-CN"/>
              </w:rPr>
              <w:t>在线</w:t>
            </w:r>
            <w:r>
              <w:rPr>
                <w:rFonts w:hint="eastAsia" w:ascii="仿宋_GB2312" w:hAnsi="仿宋_GB2312" w:eastAsia="仿宋_GB2312" w:cs="仿宋_GB2312"/>
                <w:color w:val="auto"/>
                <w:sz w:val="24"/>
                <w:szCs w:val="24"/>
              </w:rPr>
              <w:t>编制工作，系统自动检查数据逻辑关系，生成初步概算文件。同时提供在线审核功能，审核人员可提出修改意见，实现编制与审核的协同作业。</w:t>
            </w:r>
          </w:p>
          <w:p w14:paraId="4B9A9D4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概算调整管理：当设计方案发生变更时，支持对设计概算进行调整，记录调整原因、调整内容及调整前后的数据对比，确保概算的准确性和时效性。​</w:t>
            </w:r>
          </w:p>
          <w:p w14:paraId="6BA1667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与投资估算对比分析：自动将设计概算与投资估算进行对比，分析差异原因，为设计优化提供依据，控制投资规模。</w:t>
            </w:r>
          </w:p>
        </w:tc>
        <w:tc>
          <w:tcPr>
            <w:tcW w:w="1216" w:type="pct"/>
            <w:shd w:val="clear" w:color="auto" w:fill="FFFFFF"/>
            <w:vAlign w:val="center"/>
          </w:tcPr>
          <w:p w14:paraId="60B0F57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确保设计概算编制的准确性和规范性，为设计阶段的投资控制提供可靠依据。</w:t>
            </w:r>
          </w:p>
        </w:tc>
      </w:tr>
      <w:tr w14:paraId="62D6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62" w:type="pct"/>
            <w:shd w:val="clear" w:color="auto" w:fill="FFFFFF"/>
            <w:noWrap/>
            <w:vAlign w:val="center"/>
          </w:tcPr>
          <w:p w14:paraId="293A7EFA">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373" w:type="pct"/>
            <w:vMerge w:val="continue"/>
            <w:shd w:val="clear" w:color="auto" w:fill="FFFFFF"/>
            <w:noWrap/>
            <w:vAlign w:val="center"/>
          </w:tcPr>
          <w:p w14:paraId="4A331AEC">
            <w:pPr>
              <w:widowControl/>
              <w:jc w:val="center"/>
              <w:textAlignment w:val="center"/>
              <w:rPr>
                <w:rFonts w:hint="eastAsia" w:ascii="仿宋_GB2312" w:hAnsi="仿宋_GB2312" w:eastAsia="仿宋_GB2312" w:cs="仿宋_GB2312"/>
                <w:color w:val="auto"/>
                <w:sz w:val="24"/>
                <w:szCs w:val="24"/>
              </w:rPr>
            </w:pPr>
          </w:p>
        </w:tc>
        <w:tc>
          <w:tcPr>
            <w:tcW w:w="582" w:type="pct"/>
            <w:shd w:val="clear" w:color="auto" w:fill="FFFFFF"/>
            <w:noWrap/>
            <w:vAlign w:val="center"/>
          </w:tcPr>
          <w:p w14:paraId="7D5AF6CB">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施工图预算</w:t>
            </w:r>
          </w:p>
        </w:tc>
        <w:tc>
          <w:tcPr>
            <w:tcW w:w="2465" w:type="pct"/>
            <w:shd w:val="clear" w:color="auto" w:fill="FFFFFF"/>
            <w:vAlign w:val="center"/>
          </w:tcPr>
          <w:p w14:paraId="7928959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精准工程量计算：可以集成BIM模型或支持导入、CAD图纸自动识别、XML标准格式导入，再利用算量功能自动分析工程量，减少人工计算误差，提高预算编制效率。</w:t>
            </w:r>
          </w:p>
          <w:p w14:paraId="1E532F39">
            <w:pPr>
              <w:widowControl/>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系统应提供预算分解、分列对比、自动构建等功能，便于对限额设计的施工图预算结果进行评定、调整以及提供优化依据。</w:t>
            </w:r>
          </w:p>
          <w:p w14:paraId="738634F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企业</w:t>
            </w:r>
            <w:r>
              <w:rPr>
                <w:rFonts w:hint="eastAsia" w:ascii="仿宋_GB2312" w:hAnsi="仿宋_GB2312" w:eastAsia="仿宋_GB2312" w:cs="仿宋_GB2312"/>
                <w:color w:val="auto"/>
                <w:sz w:val="24"/>
                <w:szCs w:val="24"/>
              </w:rPr>
              <w:t>定额套用：连接企业定额库，根据工程量和项目特征自动套用相应的定额子目，计算定额直接费、间接费等各项费用。​</w:t>
            </w:r>
          </w:p>
          <w:p w14:paraId="766F90A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材料价格动态更新：实时获取材料设备价数据库中的价格信息，自动更新预算中的材料价格，确保预算反映市场实际情况。</w:t>
            </w:r>
          </w:p>
        </w:tc>
        <w:tc>
          <w:tcPr>
            <w:tcW w:w="1216" w:type="pct"/>
            <w:shd w:val="clear" w:color="auto" w:fill="FFFFFF"/>
            <w:vAlign w:val="center"/>
          </w:tcPr>
          <w:p w14:paraId="251B399C">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既强化施工图设计必须遵循初步设计的基本要求</w:t>
            </w:r>
            <w:r>
              <w:rPr>
                <w:rFonts w:hint="eastAsia" w:ascii="仿宋_GB2312" w:hAnsi="仿宋_GB2312" w:eastAsia="仿宋_GB2312" w:cs="仿宋_GB2312"/>
                <w:color w:val="auto"/>
                <w:sz w:val="24"/>
                <w:szCs w:val="24"/>
                <w:lang w:val="en-US" w:eastAsia="zh-CN"/>
              </w:rPr>
              <w:t>与限额设计的相关指标</w:t>
            </w:r>
            <w:r>
              <w:rPr>
                <w:rFonts w:hint="eastAsia" w:ascii="仿宋_GB2312" w:hAnsi="仿宋_GB2312" w:eastAsia="仿宋_GB2312" w:cs="仿宋_GB2312"/>
                <w:color w:val="auto"/>
                <w:sz w:val="24"/>
                <w:szCs w:val="24"/>
              </w:rPr>
              <w:t>，又提高工程量计算的准确性，为施工图预算编制提供精确的数据基础，避免因工程量误差导致的造价偏差。</w:t>
            </w:r>
          </w:p>
        </w:tc>
      </w:tr>
      <w:tr w14:paraId="415E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62" w:type="pct"/>
            <w:shd w:val="clear" w:color="auto" w:fill="FFFFFF"/>
            <w:noWrap/>
            <w:vAlign w:val="center"/>
          </w:tcPr>
          <w:p w14:paraId="38E980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p w14:paraId="05233D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p w14:paraId="4089D6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p w14:paraId="1CFC24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p w14:paraId="178EA2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p w14:paraId="2544A4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p>
          <w:p w14:paraId="1A0C31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373" w:type="pct"/>
            <w:vMerge w:val="continue"/>
            <w:shd w:val="clear" w:color="auto" w:fill="FFFFFF"/>
            <w:noWrap/>
            <w:vAlign w:val="center"/>
          </w:tcPr>
          <w:p w14:paraId="76DC617E">
            <w:pPr>
              <w:widowControl/>
              <w:jc w:val="center"/>
              <w:textAlignment w:val="center"/>
              <w:rPr>
                <w:rFonts w:hint="eastAsia" w:ascii="仿宋_GB2312" w:hAnsi="仿宋_GB2312" w:eastAsia="仿宋_GB2312" w:cs="仿宋_GB2312"/>
                <w:color w:val="auto"/>
                <w:sz w:val="24"/>
                <w:szCs w:val="24"/>
              </w:rPr>
            </w:pPr>
          </w:p>
        </w:tc>
        <w:tc>
          <w:tcPr>
            <w:tcW w:w="582" w:type="pct"/>
            <w:shd w:val="clear" w:color="auto" w:fill="FFFFFF"/>
            <w:noWrap/>
            <w:vAlign w:val="center"/>
          </w:tcPr>
          <w:p w14:paraId="71381C5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招标控制价</w:t>
            </w:r>
          </w:p>
        </w:tc>
        <w:tc>
          <w:tcPr>
            <w:tcW w:w="2465" w:type="pct"/>
            <w:shd w:val="clear" w:color="auto" w:fill="FFFFFF"/>
            <w:vAlign w:val="center"/>
          </w:tcPr>
          <w:p w14:paraId="776A083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招标文件造价条款审核：对招标文件中涉及造价的条款进行审核，如</w:t>
            </w:r>
            <w:r>
              <w:rPr>
                <w:rFonts w:hint="eastAsia" w:ascii="仿宋_GB2312" w:hAnsi="仿宋_GB2312" w:eastAsia="仿宋_GB2312" w:cs="仿宋_GB2312"/>
                <w:color w:val="auto"/>
                <w:sz w:val="24"/>
                <w:szCs w:val="24"/>
                <w:lang w:val="en-US" w:eastAsia="zh-CN"/>
              </w:rPr>
              <w:t>合同模式、</w:t>
            </w:r>
            <w:r>
              <w:rPr>
                <w:rFonts w:hint="eastAsia" w:ascii="仿宋_GB2312" w:hAnsi="仿宋_GB2312" w:eastAsia="仿宋_GB2312" w:cs="仿宋_GB2312"/>
                <w:color w:val="auto"/>
                <w:sz w:val="24"/>
                <w:szCs w:val="24"/>
              </w:rPr>
              <w:t>计价方式、合同价款调整方法、工程结算方式等，确保条款的合理性和公正性。​</w:t>
            </w:r>
          </w:p>
          <w:p w14:paraId="5DC0520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招标控制价编制：按照相关规定和招标文件要求，编制招标控制价，生成详细的造价文件，为招标工作提供准确的造价依据。​</w:t>
            </w:r>
          </w:p>
          <w:p w14:paraId="0FDF700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控制价合规性检查：系统自动检查招标控制价是否符合国家和地方的相关规定，避免出现违规情况，降低招标风险。</w:t>
            </w:r>
          </w:p>
        </w:tc>
        <w:tc>
          <w:tcPr>
            <w:tcW w:w="1216" w:type="pct"/>
            <w:shd w:val="clear" w:color="auto" w:fill="FFFFFF"/>
            <w:vAlign w:val="center"/>
          </w:tcPr>
          <w:p w14:paraId="7932AA7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确保招标文件造价条款的</w:t>
            </w:r>
            <w:r>
              <w:rPr>
                <w:rFonts w:hint="eastAsia" w:ascii="仿宋_GB2312" w:hAnsi="仿宋_GB2312" w:eastAsia="仿宋_GB2312" w:cs="仿宋_GB2312"/>
                <w:color w:val="auto"/>
                <w:sz w:val="24"/>
                <w:szCs w:val="24"/>
                <w:lang w:val="en-US" w:eastAsia="zh-CN"/>
              </w:rPr>
              <w:t>合规性与</w:t>
            </w:r>
            <w:r>
              <w:rPr>
                <w:rFonts w:hint="eastAsia" w:ascii="仿宋_GB2312" w:hAnsi="仿宋_GB2312" w:eastAsia="仿宋_GB2312" w:cs="仿宋_GB2312"/>
                <w:color w:val="auto"/>
                <w:sz w:val="24"/>
                <w:szCs w:val="24"/>
              </w:rPr>
              <w:t>合理性，避免因条款漏洞导致的招标风险和投资失控。</w:t>
            </w:r>
          </w:p>
        </w:tc>
      </w:tr>
      <w:tr w14:paraId="508A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62" w:type="pct"/>
            <w:shd w:val="clear" w:color="auto" w:fill="FFFFFF"/>
            <w:noWrap/>
            <w:vAlign w:val="center"/>
          </w:tcPr>
          <w:p w14:paraId="3539F437">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p>
        </w:tc>
        <w:tc>
          <w:tcPr>
            <w:tcW w:w="373" w:type="pct"/>
            <w:vMerge w:val="continue"/>
            <w:shd w:val="clear" w:color="auto" w:fill="FFFFFF"/>
            <w:noWrap/>
            <w:vAlign w:val="center"/>
          </w:tcPr>
          <w:p w14:paraId="6306F45F">
            <w:pPr>
              <w:widowControl/>
              <w:jc w:val="center"/>
              <w:textAlignment w:val="center"/>
              <w:rPr>
                <w:rFonts w:hint="eastAsia" w:ascii="仿宋_GB2312" w:hAnsi="仿宋_GB2312" w:eastAsia="仿宋_GB2312" w:cs="仿宋_GB2312"/>
                <w:color w:val="auto"/>
                <w:sz w:val="24"/>
                <w:szCs w:val="24"/>
              </w:rPr>
            </w:pPr>
          </w:p>
        </w:tc>
        <w:tc>
          <w:tcPr>
            <w:tcW w:w="582" w:type="pct"/>
            <w:shd w:val="clear" w:color="auto" w:fill="FFFFFF"/>
            <w:noWrap/>
            <w:vAlign w:val="center"/>
          </w:tcPr>
          <w:p w14:paraId="1A4B997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过程结算与竣工结算</w:t>
            </w:r>
          </w:p>
        </w:tc>
        <w:tc>
          <w:tcPr>
            <w:tcW w:w="2465" w:type="pct"/>
            <w:shd w:val="clear" w:color="auto" w:fill="FFFFFF"/>
            <w:vAlign w:val="center"/>
          </w:tcPr>
          <w:p w14:paraId="079B3F7C">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结算资料管理：对过程结算、竣工结算所需的资料进行收集、整理和归档，包括施工合同、设计变更、签证单、验收报告等，确保资料完整、准确，便于结算审核。​</w:t>
            </w:r>
          </w:p>
          <w:p w14:paraId="4793429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结算审核与争议处理：对施工单位提交的过程结算、竣工结算文件进行审核，通过与合同价、变更签证费用等进行对比分析，核实结算金额。对于存在争议的部分，提供在线沟通与协商功能，记录争议处理过程和结果。​</w:t>
            </w:r>
          </w:p>
          <w:p w14:paraId="5E9C69C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结算、决算数据分析：结算、决算完成后，对数据进行分析，总结项目实际成本与预算成本的差异原因，为后续项目提供经验参考，完善企业定额等的造价管理体系。</w:t>
            </w:r>
          </w:p>
        </w:tc>
        <w:tc>
          <w:tcPr>
            <w:tcW w:w="1216" w:type="pct"/>
            <w:shd w:val="clear" w:color="auto" w:fill="FFFFFF"/>
            <w:vAlign w:val="center"/>
          </w:tcPr>
          <w:p w14:paraId="50733EA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确保结算决算资料完整、准确，为竣工结算决算审核提供充分的依据，避免因资料缺失导致的结算纠纷。</w:t>
            </w:r>
          </w:p>
          <w:p w14:paraId="0E04345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准确核实结算金额，公正处理结算争议，保障建设单位和施工单位的合法权益，完成投资控制闭环。</w:t>
            </w:r>
          </w:p>
        </w:tc>
      </w:tr>
      <w:tr w14:paraId="0905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62" w:type="pct"/>
            <w:shd w:val="clear" w:color="auto" w:fill="FFFFFF"/>
            <w:noWrap/>
            <w:vAlign w:val="center"/>
          </w:tcPr>
          <w:p w14:paraId="0979F2D5">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373" w:type="pct"/>
            <w:shd w:val="clear" w:color="auto" w:fill="FFFFFF"/>
            <w:noWrap/>
            <w:vAlign w:val="center"/>
          </w:tcPr>
          <w:p w14:paraId="4B4BCAB8">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专项费用管理</w:t>
            </w:r>
          </w:p>
        </w:tc>
        <w:tc>
          <w:tcPr>
            <w:tcW w:w="582" w:type="pct"/>
            <w:shd w:val="clear" w:color="auto" w:fill="FFFFFF"/>
            <w:noWrap/>
            <w:vAlign w:val="center"/>
          </w:tcPr>
          <w:p w14:paraId="27B9791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建安费用管理</w:t>
            </w:r>
          </w:p>
        </w:tc>
        <w:tc>
          <w:tcPr>
            <w:tcW w:w="2465" w:type="pct"/>
            <w:shd w:val="clear" w:color="auto" w:fill="FFFFFF"/>
            <w:vAlign w:val="center"/>
          </w:tcPr>
          <w:p w14:paraId="1EAD827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建安费用明细核算：对建安工程费用进行详细的核算，包括分部分项工程费、措施项目费、其他项目费等，明确各项费用的构成和计算依据。​</w:t>
            </w:r>
          </w:p>
          <w:p w14:paraId="46F3051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进度款支付管理：根据施工合同约定和工程进度，审核施工单位提交的进度款支付申请，自动计算应支付金额，生成进度款支付报表，并与合同管理模块关联，实时更新合同支付状态。​</w:t>
            </w:r>
          </w:p>
          <w:p w14:paraId="2C58AE1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费用变更管理：对建安费用因设计变更、工程签证等原因引起的变更进行管理，记录变更内容、变更原因、变更金额，跟踪变更费用的执行情况，确保费用变更合规、合理。</w:t>
            </w:r>
          </w:p>
        </w:tc>
        <w:tc>
          <w:tcPr>
            <w:tcW w:w="1216" w:type="pct"/>
            <w:shd w:val="clear" w:color="auto" w:fill="FFFFFF"/>
            <w:vAlign w:val="center"/>
          </w:tcPr>
          <w:p w14:paraId="0DB920D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清晰界定各项费用，规范费用支出标准和支付方式，便于费用核算和控制。确保进度款支付合理合规，保障施工进度，同时避免超付或误付，有效控制资金支出。</w:t>
            </w:r>
          </w:p>
        </w:tc>
      </w:tr>
      <w:tr w14:paraId="717E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62" w:type="pct"/>
            <w:shd w:val="clear" w:color="auto" w:fill="FFFFFF"/>
            <w:noWrap/>
            <w:vAlign w:val="center"/>
          </w:tcPr>
          <w:p w14:paraId="43298E2B">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p>
        </w:tc>
        <w:tc>
          <w:tcPr>
            <w:tcW w:w="373" w:type="pct"/>
            <w:shd w:val="clear" w:color="auto" w:fill="FFFFFF"/>
            <w:noWrap/>
            <w:vAlign w:val="center"/>
          </w:tcPr>
          <w:p w14:paraId="00D08FE4">
            <w:pPr>
              <w:jc w:val="center"/>
              <w:rPr>
                <w:rFonts w:hint="eastAsia" w:ascii="仿宋_GB2312" w:hAnsi="仿宋_GB2312" w:eastAsia="仿宋_GB2312" w:cs="仿宋_GB2312"/>
                <w:color w:val="auto"/>
                <w:sz w:val="24"/>
                <w:szCs w:val="24"/>
              </w:rPr>
            </w:pPr>
          </w:p>
        </w:tc>
        <w:tc>
          <w:tcPr>
            <w:tcW w:w="582" w:type="pct"/>
            <w:shd w:val="clear" w:color="auto" w:fill="FFFFFF"/>
            <w:noWrap/>
            <w:vAlign w:val="center"/>
          </w:tcPr>
          <w:p w14:paraId="52CEFDC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项目其他费管理</w:t>
            </w:r>
          </w:p>
        </w:tc>
        <w:tc>
          <w:tcPr>
            <w:tcW w:w="2465" w:type="pct"/>
            <w:shd w:val="clear" w:color="auto" w:fill="FFFFFF"/>
            <w:vAlign w:val="center"/>
          </w:tcPr>
          <w:p w14:paraId="70C9398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费用分类管理：对工程建设其他费用进行分类管理，如土地使用费、建设管理费、勘察设计费、监理费等，明确各项费用的支出标准和支付方式。</w:t>
            </w:r>
          </w:p>
          <w:p w14:paraId="5A5CC61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费用预算与控制：编制项目其他费用预算，在项目实施过程中，对费用支出进行监控，当费用超支时及时发出预警，分析超支原因并采取措施进行调整。</w:t>
            </w:r>
          </w:p>
          <w:p w14:paraId="7DFCDC8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费用支付审核：对各项其他费用的支付申请进行审核，确保费用支出符合合同约定和相关规定，附上必要的支付凭证和审批流程记录。</w:t>
            </w:r>
          </w:p>
        </w:tc>
        <w:tc>
          <w:tcPr>
            <w:tcW w:w="1216" w:type="pct"/>
            <w:shd w:val="clear" w:color="auto" w:fill="FFFFFF"/>
            <w:vAlign w:val="center"/>
          </w:tcPr>
          <w:p w14:paraId="16D2C1D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清晰界定各项费用，规范费用支出标准和支付方式，便于费用核算和控制。</w:t>
            </w:r>
          </w:p>
          <w:p w14:paraId="19EA1C9C">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实现对项目其他费用的预算管控，及时发现并解决超支问题，确保投资总额可控。</w:t>
            </w:r>
          </w:p>
        </w:tc>
      </w:tr>
      <w:tr w14:paraId="1220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62" w:type="pct"/>
            <w:shd w:val="clear" w:color="auto" w:fill="FFFFFF"/>
            <w:noWrap/>
            <w:vAlign w:val="center"/>
          </w:tcPr>
          <w:p w14:paraId="32A49DAD">
            <w:pPr>
              <w:widowControl/>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c>
          <w:tcPr>
            <w:tcW w:w="373" w:type="pct"/>
            <w:vMerge w:val="restart"/>
            <w:shd w:val="clear" w:color="auto" w:fill="FFFFFF"/>
            <w:noWrap/>
            <w:vAlign w:val="center"/>
          </w:tcPr>
          <w:p w14:paraId="6A4BB238">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过程管理</w:t>
            </w:r>
          </w:p>
        </w:tc>
        <w:tc>
          <w:tcPr>
            <w:tcW w:w="582" w:type="pct"/>
            <w:shd w:val="clear" w:color="auto" w:fill="FFFFFF"/>
            <w:noWrap/>
            <w:vAlign w:val="center"/>
          </w:tcPr>
          <w:p w14:paraId="1944461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进度价款与过程结算管理</w:t>
            </w:r>
          </w:p>
        </w:tc>
        <w:tc>
          <w:tcPr>
            <w:tcW w:w="2465" w:type="pct"/>
            <w:shd w:val="clear" w:color="auto" w:fill="FFFFFF"/>
            <w:vAlign w:val="center"/>
          </w:tcPr>
          <w:p w14:paraId="5C0E088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进度计划与价款关联：将项目进度计划与进度价款、过程结算、支付计划进行关联，根据工程实际进度与过程结算节点，自动计算、审核各阶段应支付的进度价款，为进度款支付提供依据。</w:t>
            </w:r>
          </w:p>
          <w:p w14:paraId="18F332B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进度款（过程结算价款）申报与审批：施工单位通过平台提交进度款（过程结算价款）申报资料，监理单位、造价咨询单位和建设单位按照流程进行在线审批，审批过程可实时跟踪，提高审批效率。​</w:t>
            </w:r>
          </w:p>
          <w:p w14:paraId="5C4B8B8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进度款（过程结算价款）支付统计分析：对进度款（过程结算价款）支付情况进行统计分析，生成支付进度报表，展示已支付金额、未支付金额、支付比例等信息，便于掌握项目资金支付动态。</w:t>
            </w:r>
          </w:p>
        </w:tc>
        <w:tc>
          <w:tcPr>
            <w:tcW w:w="1216" w:type="pct"/>
            <w:shd w:val="clear" w:color="auto" w:fill="FFFFFF"/>
            <w:vAlign w:val="center"/>
          </w:tcPr>
          <w:p w14:paraId="6264B31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使进度款（过程结算价款）支付与工程进度匹配，保障工程顺利推进，同时合理控制资金流出节奏。​帮助管理者掌握项目资金支付情况，合理安排资金，优化资金配置。</w:t>
            </w:r>
          </w:p>
        </w:tc>
      </w:tr>
      <w:tr w14:paraId="3379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62" w:type="pct"/>
            <w:shd w:val="clear" w:color="auto" w:fill="FFFFFF"/>
            <w:noWrap/>
            <w:vAlign w:val="center"/>
          </w:tcPr>
          <w:p w14:paraId="36DFF264">
            <w:pPr>
              <w:widowControl/>
              <w:jc w:val="center"/>
              <w:textAlignment w:val="center"/>
              <w:rPr>
                <w:rFonts w:hint="eastAsia" w:ascii="仿宋_GB2312" w:hAnsi="仿宋_GB2312" w:eastAsia="仿宋_GB2312" w:cs="仿宋_GB2312"/>
                <w:color w:val="auto"/>
                <w:kern w:val="0"/>
                <w:sz w:val="24"/>
                <w:szCs w:val="24"/>
                <w:lang w:val="en-US" w:eastAsia="zh-CN"/>
              </w:rPr>
            </w:pPr>
          </w:p>
          <w:p w14:paraId="3A57FC24">
            <w:pPr>
              <w:widowControl/>
              <w:jc w:val="center"/>
              <w:textAlignment w:val="center"/>
              <w:rPr>
                <w:rFonts w:hint="eastAsia" w:ascii="仿宋_GB2312" w:hAnsi="仿宋_GB2312" w:eastAsia="仿宋_GB2312" w:cs="仿宋_GB2312"/>
                <w:color w:val="auto"/>
                <w:kern w:val="0"/>
                <w:sz w:val="24"/>
                <w:szCs w:val="24"/>
                <w:lang w:val="en-US" w:eastAsia="zh-CN"/>
              </w:rPr>
            </w:pPr>
          </w:p>
          <w:p w14:paraId="222247CB">
            <w:pPr>
              <w:widowControl/>
              <w:jc w:val="center"/>
              <w:textAlignment w:val="center"/>
              <w:rPr>
                <w:rFonts w:hint="eastAsia" w:ascii="仿宋_GB2312" w:hAnsi="仿宋_GB2312" w:eastAsia="仿宋_GB2312" w:cs="仿宋_GB2312"/>
                <w:color w:val="auto"/>
                <w:kern w:val="0"/>
                <w:sz w:val="24"/>
                <w:szCs w:val="24"/>
                <w:lang w:val="en-US" w:eastAsia="zh-CN"/>
              </w:rPr>
            </w:pPr>
          </w:p>
          <w:p w14:paraId="4FE40FE6">
            <w:pPr>
              <w:widowControl/>
              <w:jc w:val="center"/>
              <w:textAlignment w:val="center"/>
              <w:rPr>
                <w:rFonts w:hint="eastAsia" w:ascii="仿宋_GB2312" w:hAnsi="仿宋_GB2312" w:eastAsia="仿宋_GB2312" w:cs="仿宋_GB2312"/>
                <w:color w:val="auto"/>
                <w:kern w:val="0"/>
                <w:sz w:val="24"/>
                <w:szCs w:val="24"/>
                <w:lang w:val="en-US" w:eastAsia="zh-CN"/>
              </w:rPr>
            </w:pPr>
          </w:p>
          <w:p w14:paraId="3E8D89DE">
            <w:pPr>
              <w:widowControl/>
              <w:jc w:val="center"/>
              <w:textAlignment w:val="center"/>
              <w:rPr>
                <w:rFonts w:hint="eastAsia" w:ascii="仿宋_GB2312" w:hAnsi="仿宋_GB2312" w:eastAsia="仿宋_GB2312" w:cs="仿宋_GB2312"/>
                <w:color w:val="auto"/>
                <w:kern w:val="0"/>
                <w:sz w:val="24"/>
                <w:szCs w:val="24"/>
                <w:lang w:val="en-US" w:eastAsia="zh-CN"/>
              </w:rPr>
            </w:pPr>
          </w:p>
          <w:p w14:paraId="12C060AF">
            <w:pPr>
              <w:widowControl/>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373" w:type="pct"/>
            <w:vMerge w:val="continue"/>
            <w:shd w:val="clear" w:color="auto" w:fill="FFFFFF"/>
            <w:noWrap/>
            <w:vAlign w:val="center"/>
          </w:tcPr>
          <w:p w14:paraId="21AE1F8D">
            <w:pPr>
              <w:jc w:val="center"/>
              <w:rPr>
                <w:rFonts w:hint="eastAsia" w:ascii="仿宋_GB2312" w:hAnsi="仿宋_GB2312" w:eastAsia="仿宋_GB2312" w:cs="仿宋_GB2312"/>
                <w:color w:val="auto"/>
                <w:sz w:val="24"/>
                <w:szCs w:val="24"/>
              </w:rPr>
            </w:pPr>
          </w:p>
        </w:tc>
        <w:tc>
          <w:tcPr>
            <w:tcW w:w="582" w:type="pct"/>
            <w:shd w:val="clear" w:color="auto" w:fill="FFFFFF"/>
            <w:noWrap/>
            <w:vAlign w:val="center"/>
          </w:tcPr>
          <w:p w14:paraId="0B6DD73B">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设计变更</w:t>
            </w:r>
          </w:p>
        </w:tc>
        <w:tc>
          <w:tcPr>
            <w:tcW w:w="2465" w:type="pct"/>
            <w:shd w:val="clear" w:color="auto" w:fill="FFFFFF"/>
            <w:vAlign w:val="center"/>
          </w:tcPr>
          <w:p w14:paraId="56522BE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变更申请与审批：提出设计变更申请，详细说明变更原因、变更内容和对造价的影响，通过平台发起审批流程，相关单位在线审批，审批通过后变更生效。​</w:t>
            </w:r>
          </w:p>
          <w:p w14:paraId="1D3EB05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变更造价计算：系统自动根据变更内容，结合合同约定的计价方式和材料价格，计算设计变更对造价的影响金额，生成变更造价分析报告。​</w:t>
            </w:r>
          </w:p>
          <w:p w14:paraId="6929458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变更执行跟踪：跟踪设计变更的执行情况，记录变更的实施进度和实际发生费用，确保变更按照审批要求执行，避免出现变更失控导致的造价增加。</w:t>
            </w:r>
          </w:p>
        </w:tc>
        <w:tc>
          <w:tcPr>
            <w:tcW w:w="1216" w:type="pct"/>
            <w:shd w:val="clear" w:color="auto" w:fill="FFFFFF"/>
            <w:vAlign w:val="center"/>
          </w:tcPr>
          <w:p w14:paraId="017FDA4C">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严格控制设计变更，规范设计变更流程，确保变更合理合规，从源头控制因设计变更导致的造价增加。保证设计变更落实到位，防止变更执行偏差导致的额外费用产生，实现变更全过程的投资控制。</w:t>
            </w:r>
          </w:p>
        </w:tc>
      </w:tr>
      <w:tr w14:paraId="05AC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62" w:type="pct"/>
            <w:shd w:val="clear" w:color="auto" w:fill="FFFFFF"/>
            <w:noWrap/>
            <w:vAlign w:val="center"/>
          </w:tcPr>
          <w:p w14:paraId="3597A985">
            <w:pPr>
              <w:widowControl/>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w:t>
            </w:r>
          </w:p>
        </w:tc>
        <w:tc>
          <w:tcPr>
            <w:tcW w:w="373" w:type="pct"/>
            <w:vMerge w:val="continue"/>
            <w:shd w:val="clear" w:color="auto" w:fill="FFFFFF"/>
            <w:noWrap/>
            <w:vAlign w:val="center"/>
          </w:tcPr>
          <w:p w14:paraId="02D146E7">
            <w:pPr>
              <w:jc w:val="center"/>
              <w:rPr>
                <w:rFonts w:hint="eastAsia" w:ascii="仿宋_GB2312" w:hAnsi="仿宋_GB2312" w:eastAsia="仿宋_GB2312" w:cs="仿宋_GB2312"/>
                <w:color w:val="auto"/>
                <w:sz w:val="24"/>
                <w:szCs w:val="24"/>
              </w:rPr>
            </w:pPr>
          </w:p>
        </w:tc>
        <w:tc>
          <w:tcPr>
            <w:tcW w:w="582" w:type="pct"/>
            <w:shd w:val="clear" w:color="auto" w:fill="FFFFFF"/>
            <w:noWrap/>
            <w:vAlign w:val="center"/>
          </w:tcPr>
          <w:p w14:paraId="4037D2E1">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签证费用管理</w:t>
            </w:r>
          </w:p>
        </w:tc>
        <w:tc>
          <w:tcPr>
            <w:tcW w:w="2465" w:type="pct"/>
            <w:shd w:val="clear" w:color="auto" w:fill="FFFFFF"/>
            <w:vAlign w:val="center"/>
          </w:tcPr>
          <w:p w14:paraId="2E9A6CD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签证申请与审核：施工单位对工程施工过程中发生的签证事项，通过平台提交签证申请，附上相关证明材料，造价咨询单位和建设单位对签证内容和费用进行审核，审核通过后确认签证费用。</w:t>
            </w:r>
          </w:p>
          <w:p w14:paraId="7E239A1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签证费用统计与分析：对签证费用进行分类统计，分析签证费用产生的原因和占总造价的比例，为项目管理提供参考，避免不合理签证费用的发生。</w:t>
            </w:r>
          </w:p>
          <w:p w14:paraId="74D2E25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签证台账管理：建立签证台账，记录每一项签证的基本信息、审批过程、费用金额等，便于查询和追溯，确保签证管理的规范性和透明性。</w:t>
            </w:r>
          </w:p>
        </w:tc>
        <w:tc>
          <w:tcPr>
            <w:tcW w:w="1216" w:type="pct"/>
            <w:shd w:val="clear" w:color="auto" w:fill="FFFFFF"/>
            <w:vAlign w:val="center"/>
          </w:tcPr>
          <w:p w14:paraId="68F77DC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严格把控签证费用审核关，避免不合理签证费用发生，有效控制项目成本。</w:t>
            </w:r>
          </w:p>
        </w:tc>
      </w:tr>
      <w:tr w14:paraId="324F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62" w:type="pct"/>
            <w:shd w:val="clear" w:color="auto" w:fill="FFFFFF"/>
            <w:noWrap/>
            <w:vAlign w:val="center"/>
          </w:tcPr>
          <w:p w14:paraId="3D58A46F">
            <w:pPr>
              <w:widowControl/>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w:t>
            </w:r>
          </w:p>
        </w:tc>
        <w:tc>
          <w:tcPr>
            <w:tcW w:w="373" w:type="pct"/>
            <w:vMerge w:val="continue"/>
            <w:shd w:val="clear" w:color="auto" w:fill="FFFFFF"/>
            <w:noWrap/>
            <w:vAlign w:val="center"/>
          </w:tcPr>
          <w:p w14:paraId="41B4B19B">
            <w:pPr>
              <w:jc w:val="center"/>
              <w:rPr>
                <w:rFonts w:hint="eastAsia" w:ascii="仿宋_GB2312" w:hAnsi="仿宋_GB2312" w:eastAsia="仿宋_GB2312" w:cs="仿宋_GB2312"/>
                <w:color w:val="auto"/>
                <w:sz w:val="24"/>
                <w:szCs w:val="24"/>
              </w:rPr>
            </w:pPr>
          </w:p>
        </w:tc>
        <w:tc>
          <w:tcPr>
            <w:tcW w:w="582" w:type="pct"/>
            <w:shd w:val="clear" w:color="auto" w:fill="FFFFFF"/>
            <w:noWrap/>
            <w:vAlign w:val="center"/>
          </w:tcPr>
          <w:p w14:paraId="78C500A3">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认质认价管理</w:t>
            </w:r>
          </w:p>
        </w:tc>
        <w:tc>
          <w:tcPr>
            <w:tcW w:w="2465" w:type="pct"/>
            <w:shd w:val="clear" w:color="auto" w:fill="FFFFFF"/>
            <w:vAlign w:val="center"/>
          </w:tcPr>
          <w:p w14:paraId="7A03A58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材料设备认质认价申请：施工单位提出材料设备认质认价申请，上传材料设备的品牌、规格、型号、技术参数等资料，以及市场价格调研情况，供建设单位和造价咨询单位审核。​</w:t>
            </w:r>
          </w:p>
          <w:p w14:paraId="1E9D19A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价格审核与确认：建设单位和造价咨询单位通过市场调研、供应商比价等方式，对材料设备价格进行审核，确定认质认价结果，平台记录审核过程和最终价格，作为结算依据。​</w:t>
            </w:r>
          </w:p>
          <w:p w14:paraId="40EA299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认质认价档案管理：对认质认价过程中的所有资料进行归档管理，包括申请文件、审核记录、市场调研资料等，便于后续查询和审计。</w:t>
            </w:r>
          </w:p>
        </w:tc>
        <w:tc>
          <w:tcPr>
            <w:tcW w:w="1216" w:type="pct"/>
            <w:shd w:val="clear" w:color="auto" w:fill="FFFFFF"/>
            <w:vAlign w:val="center"/>
          </w:tcPr>
          <w:p w14:paraId="7EF1AFB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确保材料设备质量和价格符合要求，为工程质量和成本控制奠定基础。</w:t>
            </w:r>
          </w:p>
        </w:tc>
      </w:tr>
      <w:tr w14:paraId="3A28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62" w:type="pct"/>
            <w:shd w:val="clear" w:color="auto" w:fill="FFFFFF"/>
            <w:noWrap/>
            <w:vAlign w:val="center"/>
          </w:tcPr>
          <w:p w14:paraId="1519A462">
            <w:pPr>
              <w:widowControl/>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4</w:t>
            </w:r>
          </w:p>
        </w:tc>
        <w:tc>
          <w:tcPr>
            <w:tcW w:w="373" w:type="pct"/>
            <w:vMerge w:val="restart"/>
            <w:tcBorders>
              <w:tl2br w:val="nil"/>
            </w:tcBorders>
            <w:shd w:val="clear" w:color="auto" w:fill="FFFFFF"/>
            <w:noWrap/>
            <w:vAlign w:val="center"/>
          </w:tcPr>
          <w:p w14:paraId="2E47CB30">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招标管理</w:t>
            </w:r>
          </w:p>
        </w:tc>
        <w:tc>
          <w:tcPr>
            <w:tcW w:w="582" w:type="pct"/>
            <w:shd w:val="clear" w:color="auto" w:fill="FFFFFF"/>
            <w:noWrap/>
            <w:vAlign w:val="center"/>
          </w:tcPr>
          <w:p w14:paraId="6700FEE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专业工程招标</w:t>
            </w:r>
          </w:p>
        </w:tc>
        <w:tc>
          <w:tcPr>
            <w:tcW w:w="2465" w:type="pct"/>
            <w:shd w:val="clear" w:color="auto" w:fill="FFFFFF"/>
            <w:vAlign w:val="center"/>
          </w:tcPr>
          <w:p w14:paraId="637EDC7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招标计划编制：根据项目进度计划和需求，编制专业工程招标计划，明确招标范围、招标方式、招标时间节点等信息，确保招标工作有序进行。</w:t>
            </w:r>
          </w:p>
          <w:p w14:paraId="5A2A03D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招标文件编制与审核：提供招标文件模板，协助编制专业工程招标文件，重点审核招标文件中与造价相关的条款，如计价方式、合同价款调整方法、质量保证金等，确保招标文件的合规性和合理性。​</w:t>
            </w:r>
          </w:p>
          <w:p w14:paraId="0CD8939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招标过程管理：发布招标公告，接收投标文件，组织开标、评标等工作，记录招标过程中的关键信息，如投标单位名称、投标报价、评标结果等，实现招标过程的全程留痕。</w:t>
            </w:r>
          </w:p>
        </w:tc>
        <w:tc>
          <w:tcPr>
            <w:tcW w:w="1216" w:type="pct"/>
            <w:shd w:val="clear" w:color="auto" w:fill="FFFFFF"/>
            <w:vAlign w:val="center"/>
          </w:tcPr>
          <w:p w14:paraId="3A667D7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合理规划招标工作，保障项目按时启动，避免因招标延误导致的工期和成本损失。​</w:t>
            </w:r>
          </w:p>
        </w:tc>
      </w:tr>
      <w:tr w14:paraId="3E26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62" w:type="pct"/>
            <w:shd w:val="clear" w:color="auto" w:fill="FFFFFF"/>
            <w:noWrap/>
            <w:vAlign w:val="center"/>
          </w:tcPr>
          <w:p w14:paraId="4CB99E2D">
            <w:pPr>
              <w:widowControl/>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5</w:t>
            </w:r>
          </w:p>
        </w:tc>
        <w:tc>
          <w:tcPr>
            <w:tcW w:w="373" w:type="pct"/>
            <w:vMerge w:val="continue"/>
            <w:shd w:val="clear" w:color="auto" w:fill="FFFFFF"/>
            <w:noWrap/>
            <w:vAlign w:val="center"/>
          </w:tcPr>
          <w:p w14:paraId="403F476D">
            <w:pPr>
              <w:jc w:val="center"/>
              <w:rPr>
                <w:rFonts w:hint="eastAsia" w:ascii="仿宋_GB2312" w:hAnsi="仿宋_GB2312" w:eastAsia="仿宋_GB2312" w:cs="仿宋_GB2312"/>
                <w:color w:val="auto"/>
                <w:sz w:val="24"/>
                <w:szCs w:val="24"/>
              </w:rPr>
            </w:pPr>
          </w:p>
        </w:tc>
        <w:tc>
          <w:tcPr>
            <w:tcW w:w="582" w:type="pct"/>
            <w:shd w:val="clear" w:color="auto" w:fill="FFFFFF"/>
            <w:noWrap/>
            <w:vAlign w:val="center"/>
          </w:tcPr>
          <w:p w14:paraId="561CA82E">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设备、材料招标</w:t>
            </w:r>
          </w:p>
        </w:tc>
        <w:tc>
          <w:tcPr>
            <w:tcW w:w="2465" w:type="pct"/>
            <w:shd w:val="clear" w:color="auto" w:fill="FFFFFF"/>
            <w:vAlign w:val="center"/>
          </w:tcPr>
          <w:p w14:paraId="3CF3112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采购清单管理：根据施工图预算和项目需求，生成设备、材料采购清单，明确采购设备、材料的名称、规格、型号、数量等信息，支持清单的在线编辑和更新。​</w:t>
            </w:r>
          </w:p>
          <w:p w14:paraId="52C8722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供应商管理：建立供应商信息库，记录供应商的基本信息、资质等级、产品质量、供货价格、交货周期等，对供应商进行评估和分级管理，为招标采购选择优质供应商提供参考。​</w:t>
            </w:r>
          </w:p>
          <w:p w14:paraId="4424100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招标采购流程管理：参照专业工程招标流程，完成设备、材料的招标采购工作，包括招标公告发布、投标文件接收、评标定标等环节，确保采购过程公开、公平、公正。</w:t>
            </w:r>
          </w:p>
        </w:tc>
        <w:tc>
          <w:tcPr>
            <w:tcW w:w="1216" w:type="pct"/>
            <w:shd w:val="clear" w:color="auto" w:fill="FFFFFF"/>
            <w:vAlign w:val="center"/>
          </w:tcPr>
          <w:p w14:paraId="1635341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筛选优质供应商，确保物资质量和供货稳定性，降低采购成本和风险。通过标准化流程管理，提高采购效率，控制采购成本，保障项目物资采购顺利进行。</w:t>
            </w:r>
          </w:p>
        </w:tc>
      </w:tr>
      <w:tr w14:paraId="1872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62" w:type="pct"/>
            <w:shd w:val="clear" w:color="auto" w:fill="FFFFFF"/>
            <w:noWrap/>
            <w:vAlign w:val="center"/>
          </w:tcPr>
          <w:p w14:paraId="17F83DE8">
            <w:pPr>
              <w:widowControl/>
              <w:jc w:val="center"/>
              <w:textAlignment w:val="center"/>
              <w:rPr>
                <w:rFonts w:hint="eastAsia" w:ascii="仿宋_GB2312" w:hAnsi="仿宋_GB2312" w:eastAsia="仿宋_GB2312" w:cs="仿宋_GB2312"/>
                <w:color w:val="auto"/>
                <w:kern w:val="0"/>
                <w:sz w:val="24"/>
                <w:szCs w:val="24"/>
              </w:rPr>
            </w:pPr>
          </w:p>
          <w:p w14:paraId="3F0A4669">
            <w:pPr>
              <w:widowControl/>
              <w:jc w:val="center"/>
              <w:textAlignment w:val="center"/>
              <w:rPr>
                <w:rFonts w:hint="eastAsia" w:ascii="仿宋_GB2312" w:hAnsi="仿宋_GB2312" w:eastAsia="仿宋_GB2312" w:cs="仿宋_GB2312"/>
                <w:color w:val="auto"/>
                <w:kern w:val="0"/>
                <w:sz w:val="24"/>
                <w:szCs w:val="24"/>
              </w:rPr>
            </w:pPr>
          </w:p>
          <w:p w14:paraId="3D932560">
            <w:pPr>
              <w:widowControl/>
              <w:jc w:val="center"/>
              <w:textAlignment w:val="center"/>
              <w:rPr>
                <w:rFonts w:hint="eastAsia" w:ascii="仿宋_GB2312" w:hAnsi="仿宋_GB2312" w:eastAsia="仿宋_GB2312" w:cs="仿宋_GB2312"/>
                <w:color w:val="auto"/>
                <w:kern w:val="0"/>
                <w:sz w:val="24"/>
                <w:szCs w:val="24"/>
              </w:rPr>
            </w:pPr>
          </w:p>
          <w:p w14:paraId="672A0DBC">
            <w:pPr>
              <w:widowControl/>
              <w:jc w:val="center"/>
              <w:textAlignment w:val="center"/>
              <w:rPr>
                <w:rFonts w:hint="eastAsia" w:ascii="仿宋_GB2312" w:hAnsi="仿宋_GB2312" w:eastAsia="仿宋_GB2312" w:cs="仿宋_GB2312"/>
                <w:color w:val="auto"/>
                <w:kern w:val="0"/>
                <w:sz w:val="24"/>
                <w:szCs w:val="24"/>
              </w:rPr>
            </w:pPr>
          </w:p>
          <w:p w14:paraId="4E616308">
            <w:pPr>
              <w:widowControl/>
              <w:jc w:val="center"/>
              <w:textAlignment w:val="center"/>
              <w:rPr>
                <w:rFonts w:hint="eastAsia" w:ascii="仿宋_GB2312" w:hAnsi="仿宋_GB2312" w:eastAsia="仿宋_GB2312" w:cs="仿宋_GB2312"/>
                <w:color w:val="auto"/>
                <w:kern w:val="0"/>
                <w:sz w:val="24"/>
                <w:szCs w:val="24"/>
              </w:rPr>
            </w:pPr>
          </w:p>
          <w:p w14:paraId="22A23B93">
            <w:pPr>
              <w:widowControl/>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6</w:t>
            </w:r>
          </w:p>
        </w:tc>
        <w:tc>
          <w:tcPr>
            <w:tcW w:w="373" w:type="pct"/>
            <w:vMerge w:val="restart"/>
            <w:shd w:val="clear" w:color="auto" w:fill="FFFFFF"/>
            <w:noWrap/>
            <w:vAlign w:val="center"/>
          </w:tcPr>
          <w:p w14:paraId="48D390F8">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合同管理</w:t>
            </w:r>
          </w:p>
        </w:tc>
        <w:tc>
          <w:tcPr>
            <w:tcW w:w="582" w:type="pct"/>
            <w:shd w:val="clear" w:color="auto" w:fill="FFFFFF"/>
            <w:noWrap/>
            <w:vAlign w:val="center"/>
          </w:tcPr>
          <w:p w14:paraId="4E4ABBEE">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施工合同管理</w:t>
            </w:r>
          </w:p>
        </w:tc>
        <w:tc>
          <w:tcPr>
            <w:tcW w:w="2465" w:type="pct"/>
            <w:shd w:val="clear" w:color="auto" w:fill="FFFFFF"/>
            <w:vAlign w:val="center"/>
          </w:tcPr>
          <w:p w14:paraId="49BD0AC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签订管理：对施工合同的签订过程进行管理，包括合同文本起草、审核、签订等环节，确保合同条款符合法律法规和项目实际需求，重点审核合同价款、计价方式、风险分担的方式及幅度、付款方式、工期、质量标准等关键条款。​</w:t>
            </w:r>
          </w:p>
          <w:p w14:paraId="0FCD1E4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合同执行跟踪：实时跟踪施工合同的执行情况，记录工程进度、质量验收、价款支付等信息，与进度价款管理、设计变更管理等模块数据联动，及时发现合同执行过程中的问题并采取措施解决。​</w:t>
            </w:r>
          </w:p>
          <w:p w14:paraId="51CF8BF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合同变更与索赔管理：对施工合同的变更和索赔事项进行管理，记录变更原因、变更内容、索赔金额等信息，按照合同约定的程序进行处理，维护合同双方的合法权益。</w:t>
            </w:r>
          </w:p>
        </w:tc>
        <w:tc>
          <w:tcPr>
            <w:tcW w:w="1216" w:type="pct"/>
            <w:shd w:val="clear" w:color="auto" w:fill="FFFFFF"/>
            <w:vAlign w:val="center"/>
          </w:tcPr>
          <w:p w14:paraId="7CA7199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合同签约与履约的全过程充分体现“依法签约、合同至上、有约从约”的“契约精神”，并及时发现、解决合同执行问题，保障工程顺利推进，控制因合同执行不力导致的成本增加。</w:t>
            </w:r>
          </w:p>
        </w:tc>
      </w:tr>
      <w:tr w14:paraId="374D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62" w:type="pct"/>
            <w:shd w:val="clear" w:color="auto" w:fill="FFFFFF"/>
            <w:noWrap/>
            <w:vAlign w:val="center"/>
          </w:tcPr>
          <w:p w14:paraId="1A1BA8C7">
            <w:pPr>
              <w:widowControl/>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7</w:t>
            </w:r>
          </w:p>
        </w:tc>
        <w:tc>
          <w:tcPr>
            <w:tcW w:w="373" w:type="pct"/>
            <w:vMerge w:val="continue"/>
            <w:shd w:val="clear" w:color="auto" w:fill="FFFFFF"/>
            <w:noWrap/>
            <w:vAlign w:val="center"/>
          </w:tcPr>
          <w:p w14:paraId="12AD52B5">
            <w:pPr>
              <w:jc w:val="center"/>
              <w:rPr>
                <w:rFonts w:hint="eastAsia" w:ascii="仿宋_GB2312" w:hAnsi="仿宋_GB2312" w:eastAsia="仿宋_GB2312" w:cs="仿宋_GB2312"/>
                <w:color w:val="auto"/>
                <w:sz w:val="24"/>
                <w:szCs w:val="24"/>
              </w:rPr>
            </w:pPr>
          </w:p>
        </w:tc>
        <w:tc>
          <w:tcPr>
            <w:tcW w:w="582" w:type="pct"/>
            <w:shd w:val="clear" w:color="auto" w:fill="FFFFFF"/>
            <w:noWrap/>
            <w:vAlign w:val="center"/>
          </w:tcPr>
          <w:p w14:paraId="7B323483">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采购合同管理</w:t>
            </w:r>
          </w:p>
        </w:tc>
        <w:tc>
          <w:tcPr>
            <w:tcW w:w="2465" w:type="pct"/>
            <w:shd w:val="clear" w:color="auto" w:fill="FFFFFF"/>
            <w:vAlign w:val="center"/>
          </w:tcPr>
          <w:p w14:paraId="06199B1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采购合同签订与备案：管理采购合同的签订过程，确保合同条款明确双方权利义务，保障采购物资的质量、价格和交货期。签订后的合同进行备案管理，便于查询和监督。​</w:t>
            </w:r>
          </w:p>
          <w:p w14:paraId="4F51118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采购合同执行监控：跟踪采购合同的执行情况，包括物资的生产、运输、验收、付款等环节，及时处理合同执行过程中的异常情况，如物资延迟到货、质量不合格等问题。​</w:t>
            </w:r>
          </w:p>
          <w:p w14:paraId="3337D27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供应商履约评价：根据采购合同的执行情况，对供应商进行履约评价，评价结果纳入供应商信息库，为后续采购决策提供参考依据。</w:t>
            </w:r>
          </w:p>
        </w:tc>
        <w:tc>
          <w:tcPr>
            <w:tcW w:w="1216" w:type="pct"/>
            <w:shd w:val="clear" w:color="auto" w:fill="FFFFFF"/>
            <w:vAlign w:val="center"/>
          </w:tcPr>
          <w:p w14:paraId="0E867B3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合同签约与履约的全过程充分体现“依法签约、合同至上、有约从约”的“契约精神”，确保物资按时保质供应，避免因采购问题影响项目进度，控制采购成本和风险。</w:t>
            </w:r>
          </w:p>
        </w:tc>
      </w:tr>
      <w:tr w14:paraId="1F81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62" w:type="pct"/>
            <w:shd w:val="clear" w:color="auto" w:fill="FFFFFF"/>
            <w:noWrap/>
            <w:vAlign w:val="center"/>
          </w:tcPr>
          <w:p w14:paraId="524BD25F">
            <w:pPr>
              <w:widowControl/>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8</w:t>
            </w:r>
          </w:p>
        </w:tc>
        <w:tc>
          <w:tcPr>
            <w:tcW w:w="373" w:type="pct"/>
            <w:shd w:val="clear" w:color="auto" w:fill="FFFFFF"/>
            <w:noWrap/>
            <w:vAlign w:val="center"/>
          </w:tcPr>
          <w:p w14:paraId="35F663A5">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资料管理</w:t>
            </w:r>
          </w:p>
        </w:tc>
        <w:tc>
          <w:tcPr>
            <w:tcW w:w="582" w:type="pct"/>
            <w:shd w:val="clear" w:color="auto" w:fill="FFFFFF"/>
            <w:noWrap/>
            <w:vAlign w:val="center"/>
          </w:tcPr>
          <w:p w14:paraId="414759A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项目资料管理</w:t>
            </w:r>
          </w:p>
        </w:tc>
        <w:tc>
          <w:tcPr>
            <w:tcW w:w="2465" w:type="pct"/>
            <w:shd w:val="clear" w:color="auto" w:fill="FFFFFF"/>
            <w:vAlign w:val="center"/>
          </w:tcPr>
          <w:p w14:paraId="06573FC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资料分类存储：按照项目阶段、资料类型（图纸、文件、报告等）对项目资料进行分类存储，建立完善的资料目录体系，方便资料的查询和检索。</w:t>
            </w:r>
          </w:p>
          <w:p w14:paraId="2979A76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资料权限管理：设置不同用户对资料的访问权限，确保资料的安全性和保密性，只有授权用户才能查看、下载或编辑相关资料。​</w:t>
            </w:r>
          </w:p>
          <w:p w14:paraId="610108E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资料版本管理：对重要资料进行版本管理，记录资料的修改历史和修改内容，方便追溯资料的变更过程，确保使用最新、准确的资料。​</w:t>
            </w:r>
          </w:p>
          <w:p w14:paraId="74CAB50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资料在线共享与协同：支持项目参与各方在线共享资料，实现资料的协同编辑和批注，提高资料的利用效率，促进各方之间的沟通与协作。</w:t>
            </w:r>
          </w:p>
        </w:tc>
        <w:tc>
          <w:tcPr>
            <w:tcW w:w="1216" w:type="pct"/>
            <w:shd w:val="clear" w:color="auto" w:fill="FFFFFF"/>
            <w:vAlign w:val="center"/>
          </w:tcPr>
          <w:p w14:paraId="74CC5C5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现项目资料的有序管理，便于资料查询和检索，为项目管理和决策提供资料支持。防止资料泄露和非法访问，保障企业和项目信息安全，维护各方合法权益。确保使用最新准确资料，避免因资料版本混乱导致的管理失误和决策错误。</w:t>
            </w:r>
          </w:p>
        </w:tc>
      </w:tr>
    </w:tbl>
    <w:p w14:paraId="67FA2CF9">
      <w:pPr>
        <w:pStyle w:val="2"/>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三、安全与风险管理</w:t>
      </w:r>
    </w:p>
    <w:p w14:paraId="1CAD114D">
      <w:pPr>
        <w:pStyle w:val="3"/>
        <w:pageBreakBefore w:val="0"/>
        <w:widowControl w:val="0"/>
        <w:kinsoku/>
        <w:wordWrap/>
        <w:overflowPunct/>
        <w:topLinePunct w:val="0"/>
        <w:autoSpaceDE/>
        <w:autoSpaceDN/>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数据安全与隐私保护机制​</w:t>
      </w:r>
    </w:p>
    <w:p w14:paraId="44F664D4">
      <w:pPr>
        <w:pStyle w:val="6"/>
        <w:pageBreakBefore w:val="0"/>
        <w:widowControl w:val="0"/>
        <w:kinsoku/>
        <w:wordWrap/>
        <w:overflowPunct/>
        <w:topLinePunct w:val="0"/>
        <w:autoSpaceDE/>
        <w:autoSpaceDN/>
        <w:bidi w:val="0"/>
        <w:spacing w:line="56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3.1.1 数据要素识别与分类分级</w:t>
      </w:r>
    </w:p>
    <w:p w14:paraId="77AF51F7">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造价咨询企业应基于内部数据梳理的基础上，对数据分类分级，设置相应的管理办法。数据梳理可以采用自动化或半自动方式，对</w:t>
      </w:r>
      <w:r>
        <w:rPr>
          <w:rFonts w:hint="eastAsia" w:ascii="仿宋_GB2312" w:hAnsi="仿宋_GB2312" w:eastAsia="仿宋_GB2312" w:cs="仿宋_GB2312"/>
          <w:color w:val="auto"/>
          <w:sz w:val="32"/>
          <w:szCs w:val="32"/>
          <w:lang w:val="en-US" w:eastAsia="zh-CN"/>
        </w:rPr>
        <w:t>企业所建立的数据库各类</w:t>
      </w:r>
      <w:r>
        <w:rPr>
          <w:rFonts w:hint="eastAsia" w:ascii="仿宋_GB2312" w:hAnsi="仿宋_GB2312" w:eastAsia="仿宋_GB2312" w:cs="仿宋_GB2312"/>
          <w:color w:val="auto"/>
          <w:sz w:val="32"/>
          <w:szCs w:val="32"/>
        </w:rPr>
        <w:t>数据进行深度分析，识别核心数据要素。</w:t>
      </w:r>
    </w:p>
    <w:p w14:paraId="1FF67E36">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数据分类分级可以参考公开、内部、敏感、机密四个安全等级。例如将企业定额库全部数据整体、客户财务信息标记为机密级，招投标过程中的供应商报价等敏感信息设为敏感级。​</w:t>
      </w:r>
    </w:p>
    <w:p w14:paraId="2DEE53C2">
      <w:pPr>
        <w:pStyle w:val="6"/>
        <w:pageBreakBefore w:val="0"/>
        <w:widowControl w:val="0"/>
        <w:kinsoku/>
        <w:wordWrap/>
        <w:overflowPunct/>
        <w:topLinePunct w:val="0"/>
        <w:autoSpaceDE/>
        <w:autoSpaceDN/>
        <w:bidi w:val="0"/>
        <w:spacing w:line="56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3.1.2 设计分级授权访问控制</w:t>
      </w:r>
    </w:p>
    <w:p w14:paraId="564F9045">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基于数据分类分级结果，建立多维度权限管理体系。通过 RBAC（角色 - 权限控制）模型，为不同角色（如造价工程师、项目经理、企业管理层）分配对应的数据访问权限，机密级数据仅对特定授权人员开放。</w:t>
      </w:r>
    </w:p>
    <w:p w14:paraId="6A72A0E8">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在管理时采用动态权限调整策略，当员工岗位变动或项目需求变更时，经授权审批更新权限配置，确保数据访问的最小化原则。</w:t>
      </w:r>
    </w:p>
    <w:p w14:paraId="7CCF9577">
      <w:pPr>
        <w:pStyle w:val="6"/>
        <w:pageBreakBefore w:val="0"/>
        <w:widowControl w:val="0"/>
        <w:kinsoku/>
        <w:wordWrap/>
        <w:overflowPunct/>
        <w:topLinePunct w:val="0"/>
        <w:autoSpaceDE/>
        <w:autoSpaceDN/>
        <w:bidi w:val="0"/>
        <w:spacing w:line="56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3.1.3 隐私数据脱敏处理</w:t>
      </w:r>
    </w:p>
    <w:p w14:paraId="43B0A707">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企业用户的个人身份信息（身份证号、联系方式等）、客户敏感财务数据等，在数据存储与传输环节，采用静态脱敏（如数据替换、屏蔽、泛化处理）和动态脱敏（实时数据变形）技术，确保数据在非授权访问时无法还原真实信息。</w:t>
      </w:r>
    </w:p>
    <w:p w14:paraId="408CD1EF">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例如将身份证号、手机号中间字段替换为 “****”。</w:t>
      </w:r>
    </w:p>
    <w:p w14:paraId="203E5D98">
      <w:pPr>
        <w:pStyle w:val="6"/>
        <w:pageBreakBefore w:val="0"/>
        <w:widowControl w:val="0"/>
        <w:kinsoku/>
        <w:wordWrap/>
        <w:overflowPunct/>
        <w:topLinePunct w:val="0"/>
        <w:autoSpaceDE/>
        <w:autoSpaceDN/>
        <w:bidi w:val="0"/>
        <w:spacing w:line="56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3.1.4 数据加密防护</w:t>
      </w:r>
    </w:p>
    <w:p w14:paraId="5570C2EA">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对存储在数据库中的敏感数据，采用例如“AES-256”等高强度加密算法进行加密存储；在数据传输过程中，基于HTTPS及SSL/TLS协议建立安全通道，防止数据被窃取或篡改。</w:t>
      </w:r>
    </w:p>
    <w:p w14:paraId="45132EDA">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定期更新加密密钥，提升数据防护的安全性。​</w:t>
      </w:r>
    </w:p>
    <w:p w14:paraId="0B77BBA0">
      <w:pPr>
        <w:pStyle w:val="6"/>
        <w:pageBreakBefore w:val="0"/>
        <w:widowControl w:val="0"/>
        <w:kinsoku/>
        <w:wordWrap/>
        <w:overflowPunct/>
        <w:topLinePunct w:val="0"/>
        <w:autoSpaceDE/>
        <w:autoSpaceDN/>
        <w:bidi w:val="0"/>
        <w:spacing w:line="56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3.1.5 操作审计与追溯</w:t>
      </w:r>
    </w:p>
    <w:p w14:paraId="3E0FF8B7">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记录用户对数据的所有操作行为（查询、修改、删除等），生成详细审计日志，包括操作时间、操作人、操作内容、数据前后状态等信息。通过日志分析，可快速定位数据异常操作，实现数据操作的全流程追溯，保障数据安全责任可查。</w:t>
      </w:r>
    </w:p>
    <w:p w14:paraId="0BB96E3C">
      <w:pPr>
        <w:pStyle w:val="3"/>
        <w:pageBreakBefore w:val="0"/>
        <w:widowControl w:val="0"/>
        <w:kinsoku/>
        <w:wordWrap/>
        <w:overflowPunct/>
        <w:topLinePunct w:val="0"/>
        <w:autoSpaceDE/>
        <w:autoSpaceDN/>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风险评估与应对策略​</w:t>
      </w:r>
    </w:p>
    <w:p w14:paraId="3437DDE1">
      <w:pPr>
        <w:pStyle w:val="6"/>
        <w:pageBreakBefore w:val="0"/>
        <w:widowControl w:val="0"/>
        <w:kinsoku/>
        <w:wordWrap/>
        <w:overflowPunct/>
        <w:topLinePunct w:val="0"/>
        <w:autoSpaceDE/>
        <w:autoSpaceDN/>
        <w:bidi w:val="0"/>
        <w:spacing w:line="56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3.2.1 实时安全风险监测</w:t>
      </w:r>
    </w:p>
    <w:p w14:paraId="076D377C">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在企业网络环境中部署网络安全监测系统，实时监控平台网络流量、服务器运行状态、数据库操作行为等。可以采用通过AI算法与预设规则的主动防护机制，自动识别潜在的安全威胁，对网络攻击、数据</w:t>
      </w:r>
      <w:r>
        <w:rPr>
          <w:rFonts w:hint="eastAsia" w:ascii="仿宋_GB2312" w:hAnsi="仿宋_GB2312" w:eastAsia="仿宋_GB2312" w:cs="仿宋_GB2312"/>
          <w:sz w:val="32"/>
          <w:szCs w:val="32"/>
          <w:lang w:eastAsia="zh-CN"/>
        </w:rPr>
        <w:t>泄漏风险</w:t>
      </w:r>
      <w:r>
        <w:rPr>
          <w:rFonts w:hint="eastAsia" w:ascii="仿宋_GB2312" w:hAnsi="仿宋_GB2312" w:eastAsia="仿宋_GB2312" w:cs="仿宋_GB2312"/>
          <w:sz w:val="32"/>
          <w:szCs w:val="32"/>
        </w:rPr>
        <w:t>、系统漏洞等及时发出预警。</w:t>
      </w:r>
    </w:p>
    <w:p w14:paraId="2E25D8BF">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企业在采用新技术、新工具时，也会引入新的风险。</w:t>
      </w:r>
      <w:r>
        <w:rPr>
          <w:rFonts w:hint="eastAsia" w:ascii="仿宋_GB2312" w:hAnsi="仿宋_GB2312" w:eastAsia="仿宋_GB2312" w:cs="仿宋_GB2312"/>
          <w:color w:val="auto"/>
          <w:sz w:val="32"/>
          <w:szCs w:val="32"/>
        </w:rPr>
        <w:t>在技术层面，</w:t>
      </w:r>
      <w:r>
        <w:rPr>
          <w:rFonts w:hint="eastAsia" w:ascii="仿宋_GB2312" w:hAnsi="仿宋_GB2312" w:eastAsia="仿宋_GB2312" w:cs="仿宋_GB2312"/>
          <w:color w:val="auto"/>
          <w:sz w:val="32"/>
          <w:szCs w:val="32"/>
          <w:lang w:val="en-US" w:eastAsia="zh-CN"/>
        </w:rPr>
        <w:t>新技术的成熟度往往没有传统技术可靠，对企业</w:t>
      </w:r>
      <w:r>
        <w:rPr>
          <w:rFonts w:hint="eastAsia" w:ascii="仿宋_GB2312" w:hAnsi="仿宋_GB2312" w:eastAsia="仿宋_GB2312" w:cs="仿宋_GB2312"/>
          <w:color w:val="auto"/>
          <w:sz w:val="32"/>
          <w:szCs w:val="32"/>
        </w:rPr>
        <w:t>安全与</w:t>
      </w:r>
      <w:r>
        <w:rPr>
          <w:rFonts w:hint="eastAsia" w:ascii="仿宋_GB2312" w:hAnsi="仿宋_GB2312" w:eastAsia="仿宋_GB2312" w:cs="仿宋_GB2312"/>
          <w:color w:val="auto"/>
          <w:sz w:val="32"/>
          <w:szCs w:val="32"/>
          <w:lang w:val="en-US" w:eastAsia="zh-CN"/>
        </w:rPr>
        <w:t>数据</w:t>
      </w:r>
      <w:r>
        <w:rPr>
          <w:rFonts w:hint="eastAsia" w:ascii="仿宋_GB2312" w:hAnsi="仿宋_GB2312" w:eastAsia="仿宋_GB2312" w:cs="仿宋_GB2312"/>
          <w:color w:val="auto"/>
          <w:sz w:val="32"/>
          <w:szCs w:val="32"/>
        </w:rPr>
        <w:t>隐私领域</w:t>
      </w:r>
      <w:r>
        <w:rPr>
          <w:rFonts w:hint="eastAsia" w:ascii="仿宋_GB2312" w:hAnsi="仿宋_GB2312" w:eastAsia="仿宋_GB2312" w:cs="仿宋_GB2312"/>
          <w:color w:val="auto"/>
          <w:sz w:val="32"/>
          <w:szCs w:val="32"/>
          <w:lang w:val="en-US" w:eastAsia="zh-CN"/>
        </w:rPr>
        <w:t>提出了更严峻的考验，</w:t>
      </w:r>
      <w:r>
        <w:rPr>
          <w:rFonts w:hint="eastAsia" w:ascii="仿宋_GB2312" w:hAnsi="仿宋_GB2312" w:eastAsia="仿宋_GB2312" w:cs="仿宋_GB2312"/>
          <w:color w:val="auto"/>
          <w:sz w:val="32"/>
          <w:szCs w:val="32"/>
        </w:rPr>
        <w:t>加之人工智能驱动的新型恶意软件不断涌现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给用户信息安全和系统稳定运行带来巨大威胁。</w:t>
      </w:r>
    </w:p>
    <w:p w14:paraId="65A46089">
      <w:pPr>
        <w:pStyle w:val="6"/>
        <w:pageBreakBefore w:val="0"/>
        <w:widowControl w:val="0"/>
        <w:kinsoku/>
        <w:wordWrap/>
        <w:overflowPunct/>
        <w:topLinePunct w:val="0"/>
        <w:autoSpaceDE/>
        <w:autoSpaceDN/>
        <w:bidi w:val="0"/>
        <w:spacing w:line="56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3.2.2 动态风险评估模型</w:t>
      </w:r>
    </w:p>
    <w:p w14:paraId="27F4E208">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基于多因素的风险评估模型，综合考虑系统漏洞等级、威胁发生概率、潜在影响程度等指标，对信息系统安全风险进行量化评估。定期（如每月）或在重大系统变更后，自动触发风险评估流程，生成风险评估报告，明确风险等级与优先级。​</w:t>
      </w:r>
    </w:p>
    <w:p w14:paraId="3AF4DAD1">
      <w:pPr>
        <w:pStyle w:val="6"/>
        <w:pageBreakBefore w:val="0"/>
        <w:widowControl w:val="0"/>
        <w:kinsoku/>
        <w:wordWrap/>
        <w:overflowPunct/>
        <w:topLinePunct w:val="0"/>
        <w:autoSpaceDE/>
        <w:autoSpaceDN/>
        <w:bidi w:val="0"/>
        <w:spacing w:line="56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安全策略定期更新</w:t>
      </w:r>
    </w:p>
    <w:p w14:paraId="37DE7BEE">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关注信息技术发展，针对网络安全动态事件与政策法规变化，定期更新安全策略库。</w:t>
      </w:r>
    </w:p>
    <w:p w14:paraId="7CCAE057">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造价咨询企业应结合企业自身业务需求与风险评估结果，对现有安全策略进行优化调整，确保安全防护措施始终契合实际需求，有效抵御新型安全威胁。​</w:t>
      </w:r>
    </w:p>
    <w:p w14:paraId="740CD92E">
      <w:pPr>
        <w:pStyle w:val="6"/>
        <w:pageBreakBefore w:val="0"/>
        <w:widowControl w:val="0"/>
        <w:kinsoku/>
        <w:wordWrap/>
        <w:overflowPunct/>
        <w:topLinePunct w:val="0"/>
        <w:autoSpaceDE/>
        <w:autoSpaceDN/>
        <w:bidi w:val="0"/>
        <w:spacing w:line="56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应急响应管理</w:t>
      </w:r>
    </w:p>
    <w:p w14:paraId="67B9B400">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制定完善的网络安全事件应急预案，明确应急响应流程与责任分工。当发生重大安全事件时，系统自动触发应急响应机制，快速隔离受影响系统，减少损失扩散，并通过短信、邮件等方式通知相关人员，确保应急处置高效有序。</w:t>
      </w:r>
    </w:p>
    <w:p w14:paraId="51417DCD">
      <w:pPr>
        <w:pStyle w:val="2"/>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四、成效评估与持续改进</w:t>
      </w:r>
    </w:p>
    <w:p w14:paraId="2CE8FB96">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4.1</w:t>
      </w:r>
      <w:r>
        <w:rPr>
          <w:rFonts w:hint="eastAsia" w:ascii="仿宋_GB2312" w:hAnsi="仿宋_GB2312" w:eastAsia="仿宋_GB2312" w:cs="仿宋_GB2312"/>
          <w:b/>
          <w:bCs/>
          <w:color w:val="00B050"/>
          <w:sz w:val="32"/>
          <w:szCs w:val="32"/>
          <w:u w:val="single"/>
        </w:rPr>
        <w:t xml:space="preserve"> </w:t>
      </w:r>
      <w:r>
        <w:rPr>
          <w:rFonts w:hint="eastAsia" w:ascii="仿宋_GB2312" w:hAnsi="仿宋_GB2312" w:eastAsia="仿宋_GB2312" w:cs="仿宋_GB2312"/>
          <w:b/>
          <w:bCs/>
          <w:sz w:val="32"/>
          <w:szCs w:val="32"/>
          <w:u w:val="single"/>
        </w:rPr>
        <w:t>设定转型成效评估指标</w:t>
      </w:r>
    </w:p>
    <w:p w14:paraId="1AEB3BE4">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在设定转型成效评估指标时，可以围绕财务维度、客户维度、学习与成长维度、流程管理控制维度四个方向来设计数字化转型效果的评估指标。</w:t>
      </w:r>
    </w:p>
    <w:p w14:paraId="4DFDFD01">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以下是推荐</w:t>
      </w:r>
      <w:r>
        <w:rPr>
          <w:rFonts w:hint="eastAsia" w:ascii="仿宋_GB2312" w:hAnsi="仿宋_GB2312" w:eastAsia="仿宋_GB2312" w:cs="仿宋_GB2312"/>
          <w:sz w:val="32"/>
          <w:szCs w:val="32"/>
          <w:lang w:val="en-US" w:eastAsia="zh-CN"/>
        </w:rPr>
        <w:t>采用的</w:t>
      </w:r>
      <w:r>
        <w:rPr>
          <w:rFonts w:hint="eastAsia" w:ascii="仿宋_GB2312" w:hAnsi="仿宋_GB2312" w:eastAsia="仿宋_GB2312" w:cs="仿宋_GB2312"/>
          <w:sz w:val="32"/>
          <w:szCs w:val="32"/>
        </w:rPr>
        <w:t>指标：</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105"/>
        <w:gridCol w:w="1372"/>
        <w:gridCol w:w="3864"/>
        <w:gridCol w:w="1436"/>
      </w:tblGrid>
      <w:tr w14:paraId="2230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5" w:type="dxa"/>
            <w:vAlign w:val="center"/>
          </w:tcPr>
          <w:p w14:paraId="4FB43997">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105" w:type="dxa"/>
            <w:vAlign w:val="center"/>
          </w:tcPr>
          <w:p w14:paraId="01F69C8D">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参考分类</w:t>
            </w:r>
          </w:p>
        </w:tc>
        <w:tc>
          <w:tcPr>
            <w:tcW w:w="1372" w:type="dxa"/>
            <w:vAlign w:val="center"/>
          </w:tcPr>
          <w:p w14:paraId="4800477F">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参考指标项</w:t>
            </w:r>
          </w:p>
        </w:tc>
        <w:tc>
          <w:tcPr>
            <w:tcW w:w="3864" w:type="dxa"/>
            <w:vAlign w:val="center"/>
          </w:tcPr>
          <w:p w14:paraId="04C72BE4">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内容</w:t>
            </w:r>
          </w:p>
        </w:tc>
        <w:tc>
          <w:tcPr>
            <w:tcW w:w="1436" w:type="dxa"/>
            <w:vAlign w:val="center"/>
          </w:tcPr>
          <w:p w14:paraId="13B217EE">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参考分值</w:t>
            </w:r>
          </w:p>
        </w:tc>
      </w:tr>
      <w:tr w14:paraId="03CE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18FC3DE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05" w:type="dxa"/>
            <w:vMerge w:val="restart"/>
            <w:vAlign w:val="center"/>
          </w:tcPr>
          <w:p w14:paraId="2E6ACB0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财务目标实现</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（30%）</w:t>
            </w:r>
          </w:p>
        </w:tc>
        <w:tc>
          <w:tcPr>
            <w:tcW w:w="1372" w:type="dxa"/>
            <w:vMerge w:val="restart"/>
            <w:vAlign w:val="center"/>
          </w:tcPr>
          <w:p w14:paraId="490A92E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数字化业务收入占比</w:t>
            </w:r>
          </w:p>
        </w:tc>
        <w:tc>
          <w:tcPr>
            <w:tcW w:w="3864" w:type="dxa"/>
            <w:vAlign w:val="center"/>
          </w:tcPr>
          <w:p w14:paraId="11226EA7">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采用全过程工程咨询（含全过程造价咨询）平台业务收入__万元</w:t>
            </w:r>
          </w:p>
        </w:tc>
        <w:tc>
          <w:tcPr>
            <w:tcW w:w="1436" w:type="dxa"/>
            <w:vAlign w:val="center"/>
          </w:tcPr>
          <w:p w14:paraId="1664FA4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6640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vAlign w:val="center"/>
          </w:tcPr>
          <w:p w14:paraId="5C4673F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05" w:type="dxa"/>
            <w:vMerge w:val="continue"/>
            <w:vAlign w:val="center"/>
          </w:tcPr>
          <w:p w14:paraId="0A54B704">
            <w:pPr>
              <w:jc w:val="center"/>
              <w:rPr>
                <w:rFonts w:hint="eastAsia" w:ascii="仿宋_GB2312" w:hAnsi="仿宋_GB2312" w:eastAsia="仿宋_GB2312" w:cs="仿宋_GB2312"/>
                <w:sz w:val="24"/>
                <w:szCs w:val="24"/>
              </w:rPr>
            </w:pPr>
          </w:p>
        </w:tc>
        <w:tc>
          <w:tcPr>
            <w:tcW w:w="1372" w:type="dxa"/>
            <w:vMerge w:val="continue"/>
            <w:vAlign w:val="center"/>
          </w:tcPr>
          <w:p w14:paraId="26BB444E">
            <w:pPr>
              <w:jc w:val="center"/>
              <w:rPr>
                <w:rFonts w:hint="eastAsia" w:ascii="仿宋_GB2312" w:hAnsi="仿宋_GB2312" w:eastAsia="仿宋_GB2312" w:cs="仿宋_GB2312"/>
                <w:sz w:val="24"/>
                <w:szCs w:val="24"/>
              </w:rPr>
            </w:pPr>
          </w:p>
        </w:tc>
        <w:tc>
          <w:tcPr>
            <w:tcW w:w="3864" w:type="dxa"/>
            <w:vAlign w:val="center"/>
          </w:tcPr>
          <w:p w14:paraId="60ED758A">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数字化造价咨询业务收入__万元</w:t>
            </w:r>
          </w:p>
        </w:tc>
        <w:tc>
          <w:tcPr>
            <w:tcW w:w="1436" w:type="dxa"/>
            <w:vAlign w:val="center"/>
          </w:tcPr>
          <w:p w14:paraId="17B8523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6ED4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48C006C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05" w:type="dxa"/>
            <w:vMerge w:val="continue"/>
            <w:vAlign w:val="center"/>
          </w:tcPr>
          <w:p w14:paraId="3A84E7C9">
            <w:pPr>
              <w:jc w:val="center"/>
              <w:rPr>
                <w:rFonts w:hint="eastAsia" w:ascii="仿宋_GB2312" w:hAnsi="仿宋_GB2312" w:eastAsia="仿宋_GB2312" w:cs="仿宋_GB2312"/>
                <w:sz w:val="24"/>
                <w:szCs w:val="24"/>
              </w:rPr>
            </w:pPr>
          </w:p>
        </w:tc>
        <w:tc>
          <w:tcPr>
            <w:tcW w:w="1372" w:type="dxa"/>
            <w:vMerge w:val="restart"/>
            <w:vAlign w:val="center"/>
          </w:tcPr>
          <w:p w14:paraId="5A7425A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成本控制指标</w:t>
            </w:r>
          </w:p>
        </w:tc>
        <w:tc>
          <w:tcPr>
            <w:tcW w:w="3864" w:type="dxa"/>
            <w:vAlign w:val="center"/>
          </w:tcPr>
          <w:p w14:paraId="2518D26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人工成本占比下降率（通过标准工时测算）__%</w:t>
            </w:r>
          </w:p>
        </w:tc>
        <w:tc>
          <w:tcPr>
            <w:tcW w:w="1436" w:type="dxa"/>
            <w:vAlign w:val="center"/>
          </w:tcPr>
          <w:p w14:paraId="287339E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14:paraId="29B6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45" w:type="dxa"/>
            <w:vAlign w:val="center"/>
          </w:tcPr>
          <w:p w14:paraId="6F7DE01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105" w:type="dxa"/>
            <w:vMerge w:val="continue"/>
            <w:vAlign w:val="center"/>
          </w:tcPr>
          <w:p w14:paraId="34D6AC71">
            <w:pPr>
              <w:jc w:val="center"/>
              <w:rPr>
                <w:rFonts w:hint="eastAsia" w:ascii="仿宋_GB2312" w:hAnsi="仿宋_GB2312" w:eastAsia="仿宋_GB2312" w:cs="仿宋_GB2312"/>
                <w:sz w:val="24"/>
                <w:szCs w:val="24"/>
              </w:rPr>
            </w:pPr>
          </w:p>
        </w:tc>
        <w:tc>
          <w:tcPr>
            <w:tcW w:w="1372" w:type="dxa"/>
            <w:vMerge w:val="continue"/>
            <w:vAlign w:val="center"/>
          </w:tcPr>
          <w:p w14:paraId="2DE0A279">
            <w:pPr>
              <w:jc w:val="center"/>
              <w:rPr>
                <w:rFonts w:hint="eastAsia" w:ascii="仿宋_GB2312" w:hAnsi="仿宋_GB2312" w:eastAsia="仿宋_GB2312" w:cs="仿宋_GB2312"/>
                <w:sz w:val="24"/>
                <w:szCs w:val="24"/>
              </w:rPr>
            </w:pPr>
          </w:p>
        </w:tc>
        <w:tc>
          <w:tcPr>
            <w:tcW w:w="3864" w:type="dxa"/>
            <w:vAlign w:val="center"/>
          </w:tcPr>
          <w:p w14:paraId="290DAF0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报告出具周期缩短率__%</w:t>
            </w:r>
          </w:p>
        </w:tc>
        <w:tc>
          <w:tcPr>
            <w:tcW w:w="1436" w:type="dxa"/>
            <w:vAlign w:val="center"/>
          </w:tcPr>
          <w:p w14:paraId="34210EC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3B07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3B5E8C5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105" w:type="dxa"/>
            <w:vMerge w:val="continue"/>
            <w:vAlign w:val="center"/>
          </w:tcPr>
          <w:p w14:paraId="5C0783D2">
            <w:pPr>
              <w:jc w:val="center"/>
              <w:rPr>
                <w:rFonts w:hint="eastAsia" w:ascii="仿宋_GB2312" w:hAnsi="仿宋_GB2312" w:eastAsia="仿宋_GB2312" w:cs="仿宋_GB2312"/>
                <w:sz w:val="24"/>
                <w:szCs w:val="24"/>
              </w:rPr>
            </w:pPr>
          </w:p>
        </w:tc>
        <w:tc>
          <w:tcPr>
            <w:tcW w:w="1372" w:type="dxa"/>
            <w:vAlign w:val="center"/>
          </w:tcPr>
          <w:p w14:paraId="508D6C2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资产利用效率</w:t>
            </w:r>
          </w:p>
        </w:tc>
        <w:tc>
          <w:tcPr>
            <w:tcW w:w="3864" w:type="dxa"/>
            <w:vAlign w:val="center"/>
          </w:tcPr>
          <w:p w14:paraId="31C5C6DE">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数字化资产周转率，如数据调取频度和覆盖率__%</w:t>
            </w:r>
          </w:p>
        </w:tc>
        <w:tc>
          <w:tcPr>
            <w:tcW w:w="1436" w:type="dxa"/>
            <w:vAlign w:val="center"/>
          </w:tcPr>
          <w:p w14:paraId="67A4B57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2435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5" w:type="dxa"/>
            <w:vAlign w:val="center"/>
          </w:tcPr>
          <w:p w14:paraId="05EFD72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105" w:type="dxa"/>
            <w:vMerge w:val="restart"/>
            <w:vAlign w:val="center"/>
          </w:tcPr>
          <w:p w14:paraId="5B86B76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客户维度</w:t>
            </w:r>
          </w:p>
          <w:p w14:paraId="027603B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1372" w:type="dxa"/>
            <w:vMerge w:val="restart"/>
            <w:vAlign w:val="center"/>
          </w:tcPr>
          <w:p w14:paraId="216448A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客户满意度指标</w:t>
            </w:r>
          </w:p>
        </w:tc>
        <w:tc>
          <w:tcPr>
            <w:tcW w:w="3864" w:type="dxa"/>
            <w:vAlign w:val="center"/>
          </w:tcPr>
          <w:p w14:paraId="0684608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客户满意度评分收集覆盖率__%</w:t>
            </w:r>
          </w:p>
        </w:tc>
        <w:tc>
          <w:tcPr>
            <w:tcW w:w="1436" w:type="dxa"/>
            <w:vAlign w:val="center"/>
          </w:tcPr>
          <w:p w14:paraId="5CB6C47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730D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45" w:type="dxa"/>
            <w:vAlign w:val="center"/>
          </w:tcPr>
          <w:p w14:paraId="21EFD48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105" w:type="dxa"/>
            <w:vMerge w:val="continue"/>
            <w:vAlign w:val="center"/>
          </w:tcPr>
          <w:p w14:paraId="6A9F67CD">
            <w:pPr>
              <w:jc w:val="center"/>
              <w:rPr>
                <w:rFonts w:hint="eastAsia" w:ascii="仿宋_GB2312" w:hAnsi="仿宋_GB2312" w:eastAsia="仿宋_GB2312" w:cs="仿宋_GB2312"/>
                <w:sz w:val="24"/>
                <w:szCs w:val="24"/>
              </w:rPr>
            </w:pPr>
          </w:p>
        </w:tc>
        <w:tc>
          <w:tcPr>
            <w:tcW w:w="1372" w:type="dxa"/>
            <w:vMerge w:val="continue"/>
            <w:vAlign w:val="center"/>
          </w:tcPr>
          <w:p w14:paraId="73275B1A">
            <w:pPr>
              <w:jc w:val="center"/>
              <w:rPr>
                <w:rFonts w:hint="eastAsia" w:ascii="仿宋_GB2312" w:hAnsi="仿宋_GB2312" w:eastAsia="仿宋_GB2312" w:cs="仿宋_GB2312"/>
                <w:sz w:val="24"/>
                <w:szCs w:val="24"/>
              </w:rPr>
            </w:pPr>
          </w:p>
        </w:tc>
        <w:tc>
          <w:tcPr>
            <w:tcW w:w="3864" w:type="dxa"/>
            <w:vAlign w:val="center"/>
          </w:tcPr>
          <w:p w14:paraId="6DF46824">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客户满意度分值不低于__%</w:t>
            </w:r>
          </w:p>
        </w:tc>
        <w:tc>
          <w:tcPr>
            <w:tcW w:w="1436" w:type="dxa"/>
            <w:vAlign w:val="center"/>
          </w:tcPr>
          <w:p w14:paraId="5A3396A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682F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45" w:type="dxa"/>
            <w:vAlign w:val="center"/>
          </w:tcPr>
          <w:p w14:paraId="6924E87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105" w:type="dxa"/>
            <w:vMerge w:val="continue"/>
            <w:vAlign w:val="center"/>
          </w:tcPr>
          <w:p w14:paraId="63A4EE5C">
            <w:pPr>
              <w:jc w:val="center"/>
              <w:rPr>
                <w:rFonts w:hint="eastAsia" w:ascii="仿宋_GB2312" w:hAnsi="仿宋_GB2312" w:eastAsia="仿宋_GB2312" w:cs="仿宋_GB2312"/>
                <w:sz w:val="24"/>
                <w:szCs w:val="24"/>
              </w:rPr>
            </w:pPr>
          </w:p>
        </w:tc>
        <w:tc>
          <w:tcPr>
            <w:tcW w:w="1372" w:type="dxa"/>
            <w:vMerge w:val="continue"/>
            <w:vAlign w:val="center"/>
          </w:tcPr>
          <w:p w14:paraId="3CFCF58F">
            <w:pPr>
              <w:jc w:val="center"/>
              <w:rPr>
                <w:rFonts w:hint="eastAsia" w:ascii="仿宋_GB2312" w:hAnsi="仿宋_GB2312" w:eastAsia="仿宋_GB2312" w:cs="仿宋_GB2312"/>
                <w:sz w:val="24"/>
                <w:szCs w:val="24"/>
              </w:rPr>
            </w:pPr>
          </w:p>
        </w:tc>
        <w:tc>
          <w:tcPr>
            <w:tcW w:w="3864" w:type="dxa"/>
            <w:vAlign w:val="center"/>
          </w:tcPr>
          <w:p w14:paraId="1093FDBD">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客户投诉率低于__%</w:t>
            </w:r>
          </w:p>
        </w:tc>
        <w:tc>
          <w:tcPr>
            <w:tcW w:w="1436" w:type="dxa"/>
            <w:vAlign w:val="center"/>
          </w:tcPr>
          <w:p w14:paraId="7F059D2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15AE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5" w:type="dxa"/>
            <w:vAlign w:val="center"/>
          </w:tcPr>
          <w:p w14:paraId="0EB2A5C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105" w:type="dxa"/>
            <w:vMerge w:val="continue"/>
            <w:vAlign w:val="center"/>
          </w:tcPr>
          <w:p w14:paraId="7A5F0AFD">
            <w:pPr>
              <w:jc w:val="center"/>
              <w:rPr>
                <w:rFonts w:hint="eastAsia" w:ascii="仿宋_GB2312" w:hAnsi="仿宋_GB2312" w:eastAsia="仿宋_GB2312" w:cs="仿宋_GB2312"/>
                <w:sz w:val="24"/>
                <w:szCs w:val="24"/>
              </w:rPr>
            </w:pPr>
          </w:p>
        </w:tc>
        <w:tc>
          <w:tcPr>
            <w:tcW w:w="1372" w:type="dxa"/>
            <w:vMerge w:val="restart"/>
            <w:vAlign w:val="center"/>
          </w:tcPr>
          <w:p w14:paraId="6833E92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市场拓展指标</w:t>
            </w:r>
          </w:p>
        </w:tc>
        <w:tc>
          <w:tcPr>
            <w:tcW w:w="3864" w:type="dxa"/>
            <w:vAlign w:val="center"/>
          </w:tcPr>
          <w:p w14:paraId="3DE1525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投标资料收集效率，提升__%</w:t>
            </w:r>
          </w:p>
        </w:tc>
        <w:tc>
          <w:tcPr>
            <w:tcW w:w="1436" w:type="dxa"/>
            <w:vAlign w:val="center"/>
          </w:tcPr>
          <w:p w14:paraId="05FD5A8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2CC9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45" w:type="dxa"/>
            <w:vAlign w:val="center"/>
          </w:tcPr>
          <w:p w14:paraId="378254D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105" w:type="dxa"/>
            <w:vMerge w:val="continue"/>
            <w:vAlign w:val="center"/>
          </w:tcPr>
          <w:p w14:paraId="7BA8C50C">
            <w:pPr>
              <w:jc w:val="center"/>
              <w:rPr>
                <w:rFonts w:hint="eastAsia" w:ascii="仿宋_GB2312" w:hAnsi="仿宋_GB2312" w:eastAsia="仿宋_GB2312" w:cs="仿宋_GB2312"/>
                <w:sz w:val="24"/>
                <w:szCs w:val="24"/>
              </w:rPr>
            </w:pPr>
          </w:p>
        </w:tc>
        <w:tc>
          <w:tcPr>
            <w:tcW w:w="1372" w:type="dxa"/>
            <w:vMerge w:val="continue"/>
            <w:vAlign w:val="center"/>
          </w:tcPr>
          <w:p w14:paraId="148010EE">
            <w:pPr>
              <w:jc w:val="center"/>
              <w:rPr>
                <w:rFonts w:hint="eastAsia" w:ascii="仿宋_GB2312" w:hAnsi="仿宋_GB2312" w:eastAsia="仿宋_GB2312" w:cs="仿宋_GB2312"/>
                <w:sz w:val="24"/>
                <w:szCs w:val="24"/>
              </w:rPr>
            </w:pPr>
          </w:p>
        </w:tc>
        <w:tc>
          <w:tcPr>
            <w:tcW w:w="3864" w:type="dxa"/>
            <w:vAlign w:val="center"/>
          </w:tcPr>
          <w:p w14:paraId="3AC1E627">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投标文件审核率，提升__%</w:t>
            </w:r>
          </w:p>
        </w:tc>
        <w:tc>
          <w:tcPr>
            <w:tcW w:w="1436" w:type="dxa"/>
            <w:vAlign w:val="center"/>
          </w:tcPr>
          <w:p w14:paraId="5EB0F07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1138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5" w:type="dxa"/>
            <w:vAlign w:val="center"/>
          </w:tcPr>
          <w:p w14:paraId="00CA162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105" w:type="dxa"/>
            <w:vMerge w:val="continue"/>
            <w:vAlign w:val="center"/>
          </w:tcPr>
          <w:p w14:paraId="7E624CA5">
            <w:pPr>
              <w:jc w:val="center"/>
              <w:rPr>
                <w:rFonts w:hint="eastAsia" w:ascii="仿宋_GB2312" w:hAnsi="仿宋_GB2312" w:eastAsia="仿宋_GB2312" w:cs="仿宋_GB2312"/>
                <w:sz w:val="24"/>
                <w:szCs w:val="24"/>
              </w:rPr>
            </w:pPr>
          </w:p>
        </w:tc>
        <w:tc>
          <w:tcPr>
            <w:tcW w:w="1372" w:type="dxa"/>
            <w:vAlign w:val="center"/>
          </w:tcPr>
          <w:p w14:paraId="636E3DB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客户忠诚度</w:t>
            </w:r>
          </w:p>
        </w:tc>
        <w:tc>
          <w:tcPr>
            <w:tcW w:w="3864" w:type="dxa"/>
            <w:vAlign w:val="center"/>
          </w:tcPr>
          <w:p w14:paraId="2CBB9A06">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长期合作客户比例，提升__%</w:t>
            </w:r>
          </w:p>
        </w:tc>
        <w:tc>
          <w:tcPr>
            <w:tcW w:w="1436" w:type="dxa"/>
            <w:vAlign w:val="center"/>
          </w:tcPr>
          <w:p w14:paraId="6ADE296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40B9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2D82858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105" w:type="dxa"/>
            <w:vMerge w:val="restart"/>
            <w:vAlign w:val="center"/>
          </w:tcPr>
          <w:p w14:paraId="7136933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学习与成长维度</w:t>
            </w:r>
          </w:p>
          <w:p w14:paraId="3AFB1AC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372" w:type="dxa"/>
            <w:vMerge w:val="restart"/>
            <w:vAlign w:val="center"/>
          </w:tcPr>
          <w:p w14:paraId="34F3713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员工能力指标</w:t>
            </w:r>
          </w:p>
        </w:tc>
        <w:tc>
          <w:tcPr>
            <w:tcW w:w="3864" w:type="dxa"/>
            <w:vAlign w:val="center"/>
          </w:tcPr>
          <w:p w14:paraId="0A616665">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数字化技能培训覆盖率100%（如算量、组价工具使用培训）</w:t>
            </w:r>
          </w:p>
        </w:tc>
        <w:tc>
          <w:tcPr>
            <w:tcW w:w="1436" w:type="dxa"/>
            <w:vAlign w:val="center"/>
          </w:tcPr>
          <w:p w14:paraId="33C6571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0DF4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4D12A11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105" w:type="dxa"/>
            <w:vMerge w:val="continue"/>
            <w:vAlign w:val="center"/>
          </w:tcPr>
          <w:p w14:paraId="7CAD0519">
            <w:pPr>
              <w:jc w:val="center"/>
              <w:rPr>
                <w:rFonts w:hint="eastAsia" w:ascii="仿宋_GB2312" w:hAnsi="仿宋_GB2312" w:eastAsia="仿宋_GB2312" w:cs="仿宋_GB2312"/>
                <w:sz w:val="24"/>
                <w:szCs w:val="24"/>
              </w:rPr>
            </w:pPr>
          </w:p>
        </w:tc>
        <w:tc>
          <w:tcPr>
            <w:tcW w:w="1372" w:type="dxa"/>
            <w:vMerge w:val="continue"/>
            <w:vAlign w:val="center"/>
          </w:tcPr>
          <w:p w14:paraId="1F4580B6">
            <w:pPr>
              <w:jc w:val="center"/>
              <w:rPr>
                <w:rFonts w:hint="eastAsia" w:ascii="仿宋_GB2312" w:hAnsi="仿宋_GB2312" w:eastAsia="仿宋_GB2312" w:cs="仿宋_GB2312"/>
                <w:sz w:val="24"/>
                <w:szCs w:val="24"/>
              </w:rPr>
            </w:pPr>
          </w:p>
        </w:tc>
        <w:tc>
          <w:tcPr>
            <w:tcW w:w="3864" w:type="dxa"/>
            <w:vAlign w:val="center"/>
          </w:tcPr>
          <w:p w14:paraId="4A38FBBD">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造价软件入职培训周期，1周以内覆盖率100%</w:t>
            </w:r>
          </w:p>
        </w:tc>
        <w:tc>
          <w:tcPr>
            <w:tcW w:w="1436" w:type="dxa"/>
            <w:vAlign w:val="center"/>
          </w:tcPr>
          <w:p w14:paraId="5BAE43E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798F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1E89943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105" w:type="dxa"/>
            <w:vMerge w:val="continue"/>
            <w:vAlign w:val="center"/>
          </w:tcPr>
          <w:p w14:paraId="40CD7BE1">
            <w:pPr>
              <w:jc w:val="center"/>
              <w:rPr>
                <w:rFonts w:hint="eastAsia" w:ascii="仿宋_GB2312" w:hAnsi="仿宋_GB2312" w:eastAsia="仿宋_GB2312" w:cs="仿宋_GB2312"/>
                <w:sz w:val="24"/>
                <w:szCs w:val="24"/>
              </w:rPr>
            </w:pPr>
          </w:p>
        </w:tc>
        <w:tc>
          <w:tcPr>
            <w:tcW w:w="1372" w:type="dxa"/>
            <w:vAlign w:val="center"/>
          </w:tcPr>
          <w:p w14:paraId="522884F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组织文化指标</w:t>
            </w:r>
          </w:p>
        </w:tc>
        <w:tc>
          <w:tcPr>
            <w:tcW w:w="3864" w:type="dxa"/>
            <w:vAlign w:val="center"/>
          </w:tcPr>
          <w:p w14:paraId="7968A3DA">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数据上报及时率，如：出报告当天完成数据上报占比100%</w:t>
            </w:r>
          </w:p>
        </w:tc>
        <w:tc>
          <w:tcPr>
            <w:tcW w:w="1436" w:type="dxa"/>
            <w:vAlign w:val="center"/>
          </w:tcPr>
          <w:p w14:paraId="0402DB0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0376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5BE4035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105" w:type="dxa"/>
            <w:vMerge w:val="continue"/>
            <w:vAlign w:val="center"/>
          </w:tcPr>
          <w:p w14:paraId="311E5236">
            <w:pPr>
              <w:jc w:val="center"/>
              <w:rPr>
                <w:rFonts w:hint="eastAsia" w:ascii="仿宋_GB2312" w:hAnsi="仿宋_GB2312" w:eastAsia="仿宋_GB2312" w:cs="仿宋_GB2312"/>
                <w:sz w:val="24"/>
                <w:szCs w:val="24"/>
              </w:rPr>
            </w:pPr>
          </w:p>
        </w:tc>
        <w:tc>
          <w:tcPr>
            <w:tcW w:w="1372" w:type="dxa"/>
            <w:vMerge w:val="restart"/>
            <w:vAlign w:val="center"/>
          </w:tcPr>
          <w:p w14:paraId="550B2E2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技术投入指标</w:t>
            </w:r>
          </w:p>
        </w:tc>
        <w:tc>
          <w:tcPr>
            <w:tcW w:w="3864" w:type="dxa"/>
            <w:vAlign w:val="center"/>
          </w:tcPr>
          <w:p w14:paraId="5E05130A">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数字化研发投入占比（年度预算中用于数字化技术的比例）不低于__(1-5)%</w:t>
            </w:r>
          </w:p>
        </w:tc>
        <w:tc>
          <w:tcPr>
            <w:tcW w:w="1436" w:type="dxa"/>
            <w:vAlign w:val="center"/>
          </w:tcPr>
          <w:p w14:paraId="3EBD03C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0188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31A9F30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105" w:type="dxa"/>
            <w:vMerge w:val="continue"/>
            <w:vAlign w:val="center"/>
          </w:tcPr>
          <w:p w14:paraId="10FF7919">
            <w:pPr>
              <w:jc w:val="center"/>
              <w:rPr>
                <w:rFonts w:hint="eastAsia" w:ascii="仿宋_GB2312" w:hAnsi="仿宋_GB2312" w:eastAsia="仿宋_GB2312" w:cs="仿宋_GB2312"/>
                <w:sz w:val="24"/>
                <w:szCs w:val="24"/>
              </w:rPr>
            </w:pPr>
          </w:p>
        </w:tc>
        <w:tc>
          <w:tcPr>
            <w:tcW w:w="1372" w:type="dxa"/>
            <w:vMerge w:val="continue"/>
            <w:vAlign w:val="center"/>
          </w:tcPr>
          <w:p w14:paraId="038C22E1">
            <w:pPr>
              <w:jc w:val="center"/>
              <w:rPr>
                <w:rFonts w:hint="eastAsia" w:ascii="仿宋_GB2312" w:hAnsi="仿宋_GB2312" w:eastAsia="仿宋_GB2312" w:cs="仿宋_GB2312"/>
                <w:sz w:val="24"/>
                <w:szCs w:val="24"/>
              </w:rPr>
            </w:pPr>
          </w:p>
        </w:tc>
        <w:tc>
          <w:tcPr>
            <w:tcW w:w="3864" w:type="dxa"/>
            <w:vAlign w:val="center"/>
          </w:tcPr>
          <w:p w14:paraId="13DAF0EF">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年新增专利/软件著作权数量（如自主开发造价分析工具）__项</w:t>
            </w:r>
          </w:p>
        </w:tc>
        <w:tc>
          <w:tcPr>
            <w:tcW w:w="1436" w:type="dxa"/>
            <w:vAlign w:val="center"/>
          </w:tcPr>
          <w:p w14:paraId="0ABFEF5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6247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5A7D39D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1105" w:type="dxa"/>
            <w:vMerge w:val="restart"/>
            <w:vAlign w:val="center"/>
          </w:tcPr>
          <w:p w14:paraId="79630CD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流程管理控制提升</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(20%)</w:t>
            </w:r>
          </w:p>
        </w:tc>
        <w:tc>
          <w:tcPr>
            <w:tcW w:w="1372" w:type="dxa"/>
            <w:vMerge w:val="restart"/>
            <w:vAlign w:val="center"/>
          </w:tcPr>
          <w:p w14:paraId="76E5340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流程自动化指标</w:t>
            </w:r>
          </w:p>
        </w:tc>
        <w:tc>
          <w:tcPr>
            <w:tcW w:w="3864" w:type="dxa"/>
            <w:vAlign w:val="center"/>
          </w:tcPr>
          <w:p w14:paraId="3DDBCD7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自动化率（如算量、计价软件覆盖率），覆盖100%</w:t>
            </w:r>
          </w:p>
        </w:tc>
        <w:tc>
          <w:tcPr>
            <w:tcW w:w="1436" w:type="dxa"/>
            <w:vAlign w:val="center"/>
          </w:tcPr>
          <w:p w14:paraId="5F74DBA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6E7D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4721740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1105" w:type="dxa"/>
            <w:vMerge w:val="continue"/>
          </w:tcPr>
          <w:p w14:paraId="08D290FD">
            <w:pPr>
              <w:jc w:val="center"/>
              <w:rPr>
                <w:rFonts w:hint="eastAsia" w:ascii="仿宋_GB2312" w:hAnsi="仿宋_GB2312" w:eastAsia="仿宋_GB2312" w:cs="仿宋_GB2312"/>
                <w:sz w:val="24"/>
                <w:szCs w:val="24"/>
              </w:rPr>
            </w:pPr>
          </w:p>
        </w:tc>
        <w:tc>
          <w:tcPr>
            <w:tcW w:w="1372" w:type="dxa"/>
            <w:vMerge w:val="continue"/>
            <w:vAlign w:val="center"/>
          </w:tcPr>
          <w:p w14:paraId="73A251EC">
            <w:pPr>
              <w:jc w:val="center"/>
              <w:rPr>
                <w:rFonts w:hint="eastAsia" w:ascii="仿宋_GB2312" w:hAnsi="仿宋_GB2312" w:eastAsia="仿宋_GB2312" w:cs="仿宋_GB2312"/>
                <w:sz w:val="24"/>
                <w:szCs w:val="24"/>
              </w:rPr>
            </w:pPr>
          </w:p>
        </w:tc>
        <w:tc>
          <w:tcPr>
            <w:tcW w:w="3864" w:type="dxa"/>
            <w:vAlign w:val="center"/>
          </w:tcPr>
          <w:p w14:paraId="623984F9">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文档电子化率100%（合同、图纸等数字化存档比例）</w:t>
            </w:r>
          </w:p>
        </w:tc>
        <w:tc>
          <w:tcPr>
            <w:tcW w:w="1436" w:type="dxa"/>
            <w:vAlign w:val="center"/>
          </w:tcPr>
          <w:p w14:paraId="29A3159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05C1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45" w:type="dxa"/>
            <w:vAlign w:val="center"/>
          </w:tcPr>
          <w:p w14:paraId="6C75F31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105" w:type="dxa"/>
            <w:vMerge w:val="continue"/>
          </w:tcPr>
          <w:p w14:paraId="0321C0E2">
            <w:pPr>
              <w:jc w:val="center"/>
              <w:rPr>
                <w:rFonts w:hint="eastAsia" w:ascii="仿宋_GB2312" w:hAnsi="仿宋_GB2312" w:eastAsia="仿宋_GB2312" w:cs="仿宋_GB2312"/>
                <w:sz w:val="24"/>
                <w:szCs w:val="24"/>
              </w:rPr>
            </w:pPr>
          </w:p>
        </w:tc>
        <w:tc>
          <w:tcPr>
            <w:tcW w:w="1372" w:type="dxa"/>
            <w:vMerge w:val="restart"/>
            <w:vAlign w:val="center"/>
          </w:tcPr>
          <w:p w14:paraId="48ED94A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协同效率指标</w:t>
            </w:r>
          </w:p>
        </w:tc>
        <w:tc>
          <w:tcPr>
            <w:tcW w:w="3864" w:type="dxa"/>
            <w:vAlign w:val="center"/>
          </w:tcPr>
          <w:p w14:paraId="63B91BB7">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两周以内归档完成率100%</w:t>
            </w:r>
          </w:p>
        </w:tc>
        <w:tc>
          <w:tcPr>
            <w:tcW w:w="1436" w:type="dxa"/>
            <w:vAlign w:val="center"/>
          </w:tcPr>
          <w:p w14:paraId="58EB8D9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0152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45" w:type="dxa"/>
            <w:vAlign w:val="center"/>
          </w:tcPr>
          <w:p w14:paraId="74FAD99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105" w:type="dxa"/>
            <w:vMerge w:val="continue"/>
          </w:tcPr>
          <w:p w14:paraId="41FAE52B">
            <w:pPr>
              <w:jc w:val="center"/>
              <w:rPr>
                <w:rFonts w:hint="eastAsia" w:ascii="仿宋_GB2312" w:hAnsi="仿宋_GB2312" w:eastAsia="仿宋_GB2312" w:cs="仿宋_GB2312"/>
                <w:sz w:val="24"/>
                <w:szCs w:val="24"/>
              </w:rPr>
            </w:pPr>
          </w:p>
        </w:tc>
        <w:tc>
          <w:tcPr>
            <w:tcW w:w="1372" w:type="dxa"/>
            <w:vMerge w:val="continue"/>
            <w:vAlign w:val="center"/>
          </w:tcPr>
          <w:p w14:paraId="73140655">
            <w:pPr>
              <w:jc w:val="center"/>
              <w:rPr>
                <w:rFonts w:hint="eastAsia" w:ascii="仿宋_GB2312" w:hAnsi="仿宋_GB2312" w:eastAsia="仿宋_GB2312" w:cs="仿宋_GB2312"/>
                <w:sz w:val="24"/>
                <w:szCs w:val="24"/>
              </w:rPr>
            </w:pPr>
          </w:p>
        </w:tc>
        <w:tc>
          <w:tcPr>
            <w:tcW w:w="3864" w:type="dxa"/>
            <w:vAlign w:val="center"/>
          </w:tcPr>
          <w:p w14:paraId="2D60B29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工时统计和绩效测算效率提升__%</w:t>
            </w:r>
          </w:p>
        </w:tc>
        <w:tc>
          <w:tcPr>
            <w:tcW w:w="1436" w:type="dxa"/>
            <w:vAlign w:val="center"/>
          </w:tcPr>
          <w:p w14:paraId="084714F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38BD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68A2B0D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1105" w:type="dxa"/>
            <w:vMerge w:val="continue"/>
          </w:tcPr>
          <w:p w14:paraId="483E3023">
            <w:pPr>
              <w:jc w:val="center"/>
              <w:rPr>
                <w:rFonts w:hint="eastAsia" w:ascii="仿宋_GB2312" w:hAnsi="仿宋_GB2312" w:eastAsia="仿宋_GB2312" w:cs="仿宋_GB2312"/>
                <w:sz w:val="24"/>
                <w:szCs w:val="24"/>
              </w:rPr>
            </w:pPr>
          </w:p>
        </w:tc>
        <w:tc>
          <w:tcPr>
            <w:tcW w:w="1372" w:type="dxa"/>
            <w:vMerge w:val="continue"/>
            <w:vAlign w:val="center"/>
          </w:tcPr>
          <w:p w14:paraId="4211274D">
            <w:pPr>
              <w:jc w:val="center"/>
              <w:rPr>
                <w:rFonts w:hint="eastAsia" w:ascii="仿宋_GB2312" w:hAnsi="仿宋_GB2312" w:eastAsia="仿宋_GB2312" w:cs="仿宋_GB2312"/>
                <w:sz w:val="24"/>
                <w:szCs w:val="24"/>
              </w:rPr>
            </w:pPr>
          </w:p>
        </w:tc>
        <w:tc>
          <w:tcPr>
            <w:tcW w:w="3864" w:type="dxa"/>
            <w:vAlign w:val="center"/>
          </w:tcPr>
          <w:p w14:paraId="39938AE4">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项目数据共享及时率，部门内及时共享，项目组内实时共享，部门__（需授权/实时）共享</w:t>
            </w:r>
          </w:p>
        </w:tc>
        <w:tc>
          <w:tcPr>
            <w:tcW w:w="1436" w:type="dxa"/>
            <w:vAlign w:val="center"/>
          </w:tcPr>
          <w:p w14:paraId="0A3EB4C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5802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45" w:type="dxa"/>
            <w:vAlign w:val="center"/>
          </w:tcPr>
          <w:p w14:paraId="7F04316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1105" w:type="dxa"/>
            <w:vMerge w:val="continue"/>
          </w:tcPr>
          <w:p w14:paraId="291FFCED">
            <w:pPr>
              <w:jc w:val="center"/>
              <w:rPr>
                <w:rFonts w:hint="eastAsia" w:ascii="仿宋_GB2312" w:hAnsi="仿宋_GB2312" w:eastAsia="仿宋_GB2312" w:cs="仿宋_GB2312"/>
                <w:sz w:val="24"/>
                <w:szCs w:val="24"/>
              </w:rPr>
            </w:pPr>
          </w:p>
        </w:tc>
        <w:tc>
          <w:tcPr>
            <w:tcW w:w="1372" w:type="dxa"/>
            <w:vMerge w:val="restart"/>
            <w:vAlign w:val="center"/>
          </w:tcPr>
          <w:p w14:paraId="0B5B84A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质量控制指标</w:t>
            </w:r>
          </w:p>
        </w:tc>
        <w:tc>
          <w:tcPr>
            <w:tcW w:w="3864" w:type="dxa"/>
            <w:vAlign w:val="center"/>
          </w:tcPr>
          <w:p w14:paraId="5B9789E1">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造价成果智能审核系统覆盖率100%</w:t>
            </w:r>
          </w:p>
        </w:tc>
        <w:tc>
          <w:tcPr>
            <w:tcW w:w="1436" w:type="dxa"/>
            <w:vAlign w:val="center"/>
          </w:tcPr>
          <w:p w14:paraId="1FE7921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7F7E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45" w:type="dxa"/>
            <w:vAlign w:val="center"/>
          </w:tcPr>
          <w:p w14:paraId="14CCD42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1105" w:type="dxa"/>
            <w:vMerge w:val="continue"/>
          </w:tcPr>
          <w:p w14:paraId="588265DA">
            <w:pPr>
              <w:jc w:val="center"/>
              <w:rPr>
                <w:rFonts w:hint="eastAsia" w:ascii="仿宋_GB2312" w:hAnsi="仿宋_GB2312" w:eastAsia="仿宋_GB2312" w:cs="仿宋_GB2312"/>
                <w:sz w:val="24"/>
                <w:szCs w:val="24"/>
              </w:rPr>
            </w:pPr>
          </w:p>
        </w:tc>
        <w:tc>
          <w:tcPr>
            <w:tcW w:w="1372" w:type="dxa"/>
            <w:vMerge w:val="continue"/>
            <w:vAlign w:val="center"/>
          </w:tcPr>
          <w:p w14:paraId="3DB4678E">
            <w:pPr>
              <w:jc w:val="center"/>
              <w:rPr>
                <w:rFonts w:hint="eastAsia" w:ascii="仿宋_GB2312" w:hAnsi="仿宋_GB2312" w:eastAsia="仿宋_GB2312" w:cs="仿宋_GB2312"/>
                <w:sz w:val="24"/>
                <w:szCs w:val="24"/>
              </w:rPr>
            </w:pPr>
          </w:p>
        </w:tc>
        <w:tc>
          <w:tcPr>
            <w:tcW w:w="3864" w:type="dxa"/>
            <w:vAlign w:val="center"/>
          </w:tcPr>
          <w:p w14:paraId="2314AA1E">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造价成果智能审核一次审核通过率90%</w:t>
            </w:r>
          </w:p>
        </w:tc>
        <w:tc>
          <w:tcPr>
            <w:tcW w:w="1436" w:type="dxa"/>
            <w:vAlign w:val="center"/>
          </w:tcPr>
          <w:p w14:paraId="24104B8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3D23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62F38D0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1105" w:type="dxa"/>
            <w:vMerge w:val="continue"/>
          </w:tcPr>
          <w:p w14:paraId="11627CE2">
            <w:pPr>
              <w:jc w:val="center"/>
              <w:rPr>
                <w:rFonts w:hint="eastAsia" w:ascii="仿宋_GB2312" w:hAnsi="仿宋_GB2312" w:eastAsia="仿宋_GB2312" w:cs="仿宋_GB2312"/>
                <w:sz w:val="24"/>
                <w:szCs w:val="24"/>
              </w:rPr>
            </w:pPr>
          </w:p>
        </w:tc>
        <w:tc>
          <w:tcPr>
            <w:tcW w:w="1372" w:type="dxa"/>
            <w:vMerge w:val="continue"/>
            <w:vAlign w:val="center"/>
          </w:tcPr>
          <w:p w14:paraId="55900F3D">
            <w:pPr>
              <w:jc w:val="center"/>
              <w:rPr>
                <w:rFonts w:hint="eastAsia" w:ascii="仿宋_GB2312" w:hAnsi="仿宋_GB2312" w:eastAsia="仿宋_GB2312" w:cs="仿宋_GB2312"/>
                <w:sz w:val="24"/>
                <w:szCs w:val="24"/>
              </w:rPr>
            </w:pPr>
          </w:p>
        </w:tc>
        <w:tc>
          <w:tcPr>
            <w:tcW w:w="3864" w:type="dxa"/>
            <w:vAlign w:val="center"/>
          </w:tcPr>
          <w:p w14:paraId="0D009EDF">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三审新增的智能复核系统未识别错误，每月不超过__项</w:t>
            </w:r>
          </w:p>
        </w:tc>
        <w:tc>
          <w:tcPr>
            <w:tcW w:w="1436" w:type="dxa"/>
            <w:vAlign w:val="center"/>
          </w:tcPr>
          <w:p w14:paraId="5C6E14D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7A56D3BC">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4.2建立持续改进与反馈机制</w:t>
      </w:r>
    </w:p>
    <w:p w14:paraId="3FBD2707">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通过自身的组织能力，建立持续改进与反馈机制是确保转型成功的关键环节，其核心又在于建立起可以测量的标准体系。可以通过定期收集和分析业务数据，采用计划、执行、检查、再行动（PDCA）的循环模型，确保每一阶段的目标得到实现，并通过持续的监控和评估来推动改进。</w:t>
      </w:r>
    </w:p>
    <w:p w14:paraId="15899DE7">
      <w:pPr>
        <w:pStyle w:val="2"/>
        <w:pageBreakBefore w:val="0"/>
        <w:widowControl w:val="0"/>
        <w:kinsoku/>
        <w:wordWrap/>
        <w:overflowPunct/>
        <w:topLinePunct w:val="0"/>
        <w:autoSpaceDE/>
        <w:autoSpaceDN/>
        <w:bidi w:val="0"/>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五、保障与促进措施</w:t>
      </w:r>
    </w:p>
    <w:p w14:paraId="560CCB47">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5.1企业决策及资源保障</w:t>
      </w:r>
    </w:p>
    <w:p w14:paraId="5E5F8FCE">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企业数字化转型要实行一把手负责制，</w:t>
      </w:r>
      <w:r>
        <w:rPr>
          <w:rFonts w:hint="eastAsia" w:ascii="仿宋_GB2312" w:hAnsi="仿宋_GB2312" w:eastAsia="仿宋_GB2312" w:cs="仿宋_GB2312"/>
          <w:color w:val="auto"/>
          <w:sz w:val="32"/>
          <w:szCs w:val="32"/>
          <w:u w:val="single"/>
        </w:rPr>
        <w:t>强化一把手的“数字思维、数字认知与数字常识”。</w:t>
      </w:r>
      <w:r>
        <w:rPr>
          <w:rFonts w:hint="eastAsia" w:ascii="仿宋_GB2312" w:hAnsi="仿宋_GB2312" w:eastAsia="仿宋_GB2312" w:cs="仿宋_GB2312"/>
          <w:sz w:val="32"/>
          <w:szCs w:val="32"/>
        </w:rPr>
        <w:t>企业数字化转型，无论是管理数字化转型还是业务数字化转型</w:t>
      </w:r>
      <w:r>
        <w:rPr>
          <w:rFonts w:hint="eastAsia" w:ascii="仿宋_GB2312" w:hAnsi="仿宋_GB2312" w:eastAsia="仿宋_GB2312" w:cs="仿宋_GB2312"/>
          <w:color w:val="auto"/>
          <w:sz w:val="32"/>
          <w:szCs w:val="32"/>
        </w:rPr>
        <w:t>，均属基于数字技术的业务内涵、业务流程和运营模式的</w:t>
      </w:r>
      <w:r>
        <w:rPr>
          <w:rFonts w:hint="eastAsia" w:ascii="仿宋_GB2312" w:hAnsi="仿宋_GB2312" w:eastAsia="仿宋_GB2312" w:cs="仿宋_GB2312"/>
          <w:color w:val="auto"/>
          <w:sz w:val="32"/>
          <w:szCs w:val="32"/>
          <w:lang w:val="en-US" w:eastAsia="zh-CN"/>
        </w:rPr>
        <w:t>重塑</w:t>
      </w:r>
      <w:r>
        <w:rPr>
          <w:rFonts w:hint="eastAsia" w:ascii="仿宋_GB2312" w:hAnsi="仿宋_GB2312" w:eastAsia="仿宋_GB2312" w:cs="仿宋_GB2312"/>
          <w:color w:val="auto"/>
          <w:sz w:val="32"/>
          <w:szCs w:val="32"/>
        </w:rPr>
        <w:t>，都会深刻影响企业管理的方方面面，既需要有足够的企业资源调配权限、业务内涵</w:t>
      </w:r>
      <w:r>
        <w:rPr>
          <w:rFonts w:hint="eastAsia" w:ascii="仿宋_GB2312" w:hAnsi="仿宋_GB2312" w:eastAsia="仿宋_GB2312" w:cs="仿宋_GB2312"/>
          <w:color w:val="auto"/>
          <w:sz w:val="32"/>
          <w:szCs w:val="32"/>
          <w:lang w:val="en-US" w:eastAsia="zh-CN"/>
        </w:rPr>
        <w:t>与业务</w:t>
      </w:r>
      <w:r>
        <w:rPr>
          <w:rFonts w:hint="eastAsia" w:ascii="仿宋_GB2312" w:hAnsi="仿宋_GB2312" w:eastAsia="仿宋_GB2312" w:cs="仿宋_GB2312"/>
          <w:color w:val="auto"/>
          <w:sz w:val="32"/>
          <w:szCs w:val="32"/>
        </w:rPr>
        <w:t>流程变更权限，更需要具有为决策失</w:t>
      </w:r>
      <w:r>
        <w:rPr>
          <w:rFonts w:hint="eastAsia" w:ascii="仿宋_GB2312" w:hAnsi="仿宋_GB2312" w:eastAsia="仿宋_GB2312" w:cs="仿宋_GB2312"/>
          <w:color w:val="auto"/>
          <w:sz w:val="32"/>
          <w:szCs w:val="32"/>
          <w:lang w:val="en-US" w:eastAsia="zh-CN"/>
        </w:rPr>
        <w:t>误</w:t>
      </w:r>
      <w:r>
        <w:rPr>
          <w:rFonts w:hint="eastAsia" w:ascii="仿宋_GB2312" w:hAnsi="仿宋_GB2312" w:eastAsia="仿宋_GB2312" w:cs="仿宋_GB2312"/>
          <w:color w:val="auto"/>
          <w:sz w:val="32"/>
          <w:szCs w:val="32"/>
        </w:rPr>
        <w:t>而担负相应责任的勇气与能力。</w:t>
      </w:r>
    </w:p>
    <w:p w14:paraId="35C4547B">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5.2企业人才保障</w:t>
      </w:r>
    </w:p>
    <w:p w14:paraId="48FBA0D7">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数字化人才是企业数字化转型的关键所在。</w:t>
      </w:r>
      <w:r>
        <w:rPr>
          <w:rFonts w:hint="eastAsia" w:ascii="仿宋_GB2312" w:hAnsi="仿宋_GB2312" w:eastAsia="仿宋_GB2312" w:cs="仿宋_GB2312"/>
          <w:color w:val="auto"/>
          <w:sz w:val="32"/>
          <w:szCs w:val="32"/>
          <w:lang w:val="en-US" w:eastAsia="zh-CN"/>
        </w:rPr>
        <w:t>企业需要为数字化转型配备既懂造价咨询业务又懂数字技术的复合型人才。懂造价咨询业务是需要跟随市场需求的牵引，懂数字技术是企业数字技术应用落实的保障，两者缺一不可。</w:t>
      </w:r>
    </w:p>
    <w:p w14:paraId="2C1E779E">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为应对信息系统管理、数据治理、网络安全等新问题，建议</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根据自身业务规模</w:t>
      </w:r>
      <w:r>
        <w:rPr>
          <w:rFonts w:hint="eastAsia" w:ascii="仿宋_GB2312" w:hAnsi="仿宋_GB2312" w:eastAsia="仿宋_GB2312" w:cs="仿宋_GB2312"/>
          <w:color w:val="auto"/>
          <w:sz w:val="32"/>
          <w:szCs w:val="32"/>
        </w:rPr>
        <w:t>配备</w:t>
      </w:r>
      <w:r>
        <w:rPr>
          <w:rFonts w:hint="eastAsia" w:ascii="仿宋_GB2312" w:hAnsi="仿宋_GB2312" w:eastAsia="仿宋_GB2312" w:cs="仿宋_GB2312"/>
          <w:color w:val="auto"/>
          <w:sz w:val="32"/>
          <w:szCs w:val="32"/>
          <w:lang w:val="en-US" w:eastAsia="zh-CN"/>
        </w:rPr>
        <w:t>相应的</w:t>
      </w:r>
      <w:r>
        <w:rPr>
          <w:rFonts w:hint="eastAsia" w:ascii="仿宋_GB2312" w:hAnsi="仿宋_GB2312" w:eastAsia="仿宋_GB2312" w:cs="仿宋_GB2312"/>
          <w:color w:val="auto"/>
          <w:sz w:val="32"/>
          <w:szCs w:val="32"/>
        </w:rPr>
        <w:t>专职人员</w:t>
      </w:r>
      <w:r>
        <w:rPr>
          <w:rFonts w:hint="eastAsia" w:ascii="仿宋_GB2312" w:hAnsi="仿宋_GB2312" w:eastAsia="仿宋_GB2312" w:cs="仿宋_GB2312"/>
          <w:color w:val="auto"/>
          <w:sz w:val="32"/>
          <w:szCs w:val="32"/>
          <w:lang w:val="en-US" w:eastAsia="zh-CN"/>
        </w:rPr>
        <w:t>来统筹并负责落实。</w:t>
      </w:r>
      <w:r>
        <w:rPr>
          <w:rFonts w:hint="eastAsia" w:ascii="仿宋_GB2312" w:hAnsi="仿宋_GB2312" w:eastAsia="仿宋_GB2312" w:cs="仿宋_GB2312"/>
          <w:color w:val="auto"/>
          <w:sz w:val="32"/>
          <w:szCs w:val="32"/>
        </w:rPr>
        <w:t>在数字化转型起步期，须配备至少一名专职数字化人才负责企业数字化转型的相关实务工作。在数字化转型成长期，企业应组建专职的数字化团队，与企业各业务板块充分配合，完成</w:t>
      </w:r>
      <w:r>
        <w:rPr>
          <w:rFonts w:hint="eastAsia" w:ascii="仿宋_GB2312" w:hAnsi="仿宋_GB2312" w:eastAsia="仿宋_GB2312" w:cs="仿宋_GB2312"/>
          <w:color w:val="auto"/>
          <w:sz w:val="32"/>
          <w:szCs w:val="32"/>
          <w:lang w:val="en-US" w:eastAsia="zh-CN"/>
        </w:rPr>
        <w:t>既</w:t>
      </w:r>
      <w:r>
        <w:rPr>
          <w:rFonts w:hint="eastAsia" w:ascii="仿宋_GB2312" w:hAnsi="仿宋_GB2312" w:eastAsia="仿宋_GB2312" w:cs="仿宋_GB2312"/>
          <w:color w:val="auto"/>
          <w:sz w:val="32"/>
          <w:szCs w:val="32"/>
        </w:rPr>
        <w:t>定的数字化目标。</w:t>
      </w:r>
    </w:p>
    <w:p w14:paraId="54E5867B">
      <w:pPr>
        <w:pStyle w:val="4"/>
        <w:pageBreakBefore w:val="0"/>
        <w:widowControl w:val="0"/>
        <w:kinsoku/>
        <w:wordWrap/>
        <w:overflowPunct/>
        <w:topLinePunct w:val="0"/>
        <w:autoSpaceDE/>
        <w:autoSpaceDN/>
        <w:bidi w:val="0"/>
        <w:spacing w:line="560" w:lineRule="exact"/>
        <w:ind w:firstLine="6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企业在数字化转型的启动初期，可以依靠软件、系统供应商的技术力量来培养自己的数字化转型人才，可以通过参与厂商的培训以及获取必要的认证来快速提升数字技术能力。</w:t>
      </w:r>
    </w:p>
    <w:p w14:paraId="76A6FAF4">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5.3企业机制保障</w:t>
      </w:r>
    </w:p>
    <w:p w14:paraId="1A0BE55E">
      <w:pPr>
        <w:pStyle w:val="4"/>
        <w:pageBreakBefore w:val="0"/>
        <w:widowControl w:val="0"/>
        <w:kinsoku/>
        <w:wordWrap/>
        <w:overflowPunct/>
        <w:topLinePunct w:val="0"/>
        <w:autoSpaceDE/>
        <w:autoSpaceDN/>
        <w:bidi w:val="0"/>
        <w:spacing w:line="560" w:lineRule="exact"/>
        <w:ind w:firstLine="480" w:firstLineChars="15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企业数字化转型，应当与进一步全面深化工程造价形成机制改革、深入推进全过程工程咨询转型、大力提倡个性化服务差异化竞争等行业重大变革有机结合起来，统一协调，一体化推进。要鼓励企业员工积极参与、大胆创新，建立企业鼓励员工创新的奖励</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rPr>
        <w:t>容错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纠错</w:t>
      </w:r>
      <w:r>
        <w:rPr>
          <w:rFonts w:hint="eastAsia" w:ascii="仿宋_GB2312" w:hAnsi="仿宋_GB2312" w:eastAsia="仿宋_GB2312" w:cs="仿宋_GB2312"/>
          <w:color w:val="auto"/>
          <w:sz w:val="32"/>
          <w:szCs w:val="32"/>
        </w:rPr>
        <w:t>机制，营造企业的创新文化氛围，强化企业内部的协同沟通，确保企业数字化转型的实效。</w:t>
      </w:r>
    </w:p>
    <w:p w14:paraId="5FA4312D">
      <w:pPr>
        <w:pStyle w:val="4"/>
        <w:pageBreakBefore w:val="0"/>
        <w:widowControl w:val="0"/>
        <w:kinsoku/>
        <w:wordWrap/>
        <w:overflowPunct/>
        <w:topLinePunct w:val="0"/>
        <w:autoSpaceDE/>
        <w:autoSpaceDN/>
        <w:bidi w:val="0"/>
        <w:spacing w:line="560" w:lineRule="exact"/>
        <w:ind w:firstLine="636" w:firstLineChars="198"/>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5.4市场环境保障</w:t>
      </w:r>
    </w:p>
    <w:p w14:paraId="0B88C379">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政府相关部门与管理机构要为企业创造一个宽松的政策环境，让企业有推进数字化转型的积极性与创新热情，充分发挥企业家精神，大胆创新，勇于开拓。对企业推进数字化转型</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党政相关部门、管理机构</w:t>
      </w:r>
      <w:r>
        <w:rPr>
          <w:rFonts w:hint="eastAsia" w:ascii="仿宋_GB2312" w:hAnsi="仿宋_GB2312" w:eastAsia="仿宋_GB2312" w:cs="仿宋_GB2312"/>
          <w:b w:val="0"/>
          <w:bCs w:val="0"/>
          <w:color w:val="auto"/>
          <w:sz w:val="32"/>
          <w:szCs w:val="32"/>
          <w:u w:val="none"/>
        </w:rPr>
        <w:t>应当建立容错机制，对企业进行相关执法检查，要善于判别“创新中的过失”与“违法违规”的界限，最大限度地降低企业在创新过程中的成本。</w:t>
      </w:r>
    </w:p>
    <w:p w14:paraId="608F69B8">
      <w:pPr>
        <w:pStyle w:val="4"/>
        <w:pageBreakBefore w:val="0"/>
        <w:widowControl w:val="0"/>
        <w:kinsoku/>
        <w:wordWrap/>
        <w:overflowPunct/>
        <w:topLinePunct w:val="0"/>
        <w:autoSpaceDE/>
        <w:autoSpaceDN/>
        <w:bidi w:val="0"/>
        <w:spacing w:line="560" w:lineRule="exact"/>
        <w:ind w:firstLine="602"/>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rPr>
        <w:t>行业协会要在政府相关部门与管理机构的指导下为企业推进数字化转型多办实事，大力培育数字化转型的示范项目与示范企业，及时总结推广示范项目与示范企业的经验，在全行业造就一种转型的声势与氛围，让行业的头部企业能够自觉地带头推进数字化转型，其他企业能积极跟进转型。</w:t>
      </w:r>
      <w:r>
        <w:rPr>
          <w:rFonts w:hint="eastAsia" w:ascii="仿宋_GB2312" w:hAnsi="仿宋_GB2312" w:eastAsia="仿宋_GB2312" w:cs="仿宋_GB2312"/>
          <w:b w:val="0"/>
          <w:bCs w:val="0"/>
          <w:color w:val="auto"/>
          <w:sz w:val="32"/>
          <w:szCs w:val="32"/>
          <w:u w:val="none"/>
          <w:lang w:val="en-US" w:eastAsia="zh-CN"/>
        </w:rPr>
        <w:t>行业协会还应在继续举办工程造价专业人员技能竞赛活动中，进一步强化数字技术应用的内容</w:t>
      </w:r>
      <w:r>
        <w:rPr>
          <w:rFonts w:hint="eastAsia" w:ascii="仿宋_GB2312" w:hAnsi="仿宋_GB2312" w:eastAsia="仿宋_GB2312" w:cs="仿宋_GB2312"/>
          <w:b w:val="0"/>
          <w:bCs w:val="0"/>
          <w:color w:val="auto"/>
          <w:sz w:val="32"/>
          <w:szCs w:val="32"/>
          <w:u w:val="none"/>
          <w:lang w:eastAsia="zh-CN"/>
        </w:rPr>
        <w:t>，实现“以赛促学、以赛促用”，</w:t>
      </w:r>
      <w:r>
        <w:rPr>
          <w:rFonts w:hint="eastAsia" w:ascii="仿宋_GB2312" w:hAnsi="仿宋_GB2312" w:eastAsia="仿宋_GB2312" w:cs="仿宋_GB2312"/>
          <w:b w:val="0"/>
          <w:bCs w:val="0"/>
          <w:color w:val="auto"/>
          <w:sz w:val="32"/>
          <w:szCs w:val="32"/>
          <w:u w:val="none"/>
          <w:lang w:val="en-US" w:eastAsia="zh-CN"/>
        </w:rPr>
        <w:t>让广大的工程造价专业技术人员自觉地适应数字化转型的客观需求</w:t>
      </w:r>
      <w:r>
        <w:rPr>
          <w:rFonts w:hint="eastAsia" w:ascii="仿宋_GB2312" w:hAnsi="仿宋_GB2312" w:eastAsia="仿宋_GB2312" w:cs="仿宋_GB2312"/>
          <w:b w:val="0"/>
          <w:bCs w:val="0"/>
          <w:color w:val="auto"/>
          <w:sz w:val="32"/>
          <w:szCs w:val="32"/>
          <w:u w:val="none"/>
          <w:lang w:eastAsia="zh-CN"/>
        </w:rPr>
        <w:t>。</w:t>
      </w:r>
    </w:p>
    <w:p w14:paraId="31F6C086">
      <w:pPr>
        <w:pStyle w:val="4"/>
        <w:pageBreakBefore w:val="0"/>
        <w:widowControl w:val="0"/>
        <w:kinsoku/>
        <w:wordWrap/>
        <w:overflowPunct/>
        <w:topLinePunct w:val="0"/>
        <w:autoSpaceDE/>
        <w:autoSpaceDN/>
        <w:bidi w:val="0"/>
        <w:spacing w:line="560" w:lineRule="exact"/>
        <w:ind w:firstLine="600"/>
      </w:pPr>
      <w:r>
        <w:rPr>
          <w:rFonts w:hint="eastAsia" w:ascii="仿宋_GB2312" w:hAnsi="仿宋_GB2312" w:eastAsia="仿宋_GB2312" w:cs="仿宋_GB2312"/>
          <w:color w:val="auto"/>
          <w:sz w:val="32"/>
          <w:szCs w:val="32"/>
        </w:rPr>
        <w:t>各企业要建立数字化转型的保障制度，并渗透于企业决策机制、资源调配机制、部门协同机制等各个层面，坚持以制度管人管事，以确保企业数字化转型的顺利实施。</w:t>
      </w:r>
    </w:p>
    <w:sectPr>
      <w:footerReference r:id="rId5" w:type="default"/>
      <w:pgSz w:w="11906" w:h="16838"/>
      <w:pgMar w:top="1440" w:right="1800" w:bottom="1440" w:left="1800" w:header="851" w:footer="992" w:gutter="0"/>
      <w:pgNumType w:fmt="decimal" w:start="3"/>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iti SC Medium">
    <w:altName w:val="宋体"/>
    <w:panose1 w:val="02000000000000000000"/>
    <w:charset w:val="86"/>
    <w:family w:val="auto"/>
    <w:pitch w:val="default"/>
    <w:sig w:usb0="00000000" w:usb1="00000000" w:usb2="00000000" w:usb3="00000000" w:csb0="203E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FAC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3F787">
    <w:pPr>
      <w:pStyle w:val="1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7C6A75">
                          <w:pPr>
                            <w:pStyle w:val="15"/>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17C6A75">
                    <w:pPr>
                      <w:pStyle w:val="15"/>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D6F3E">
    <w:pPr>
      <w:pStyle w:val="16"/>
    </w:pPr>
  </w:p>
  <w:p w14:paraId="52FA4807">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0017AF3"/>
    <w:rsid w:val="00063567"/>
    <w:rsid w:val="000709B6"/>
    <w:rsid w:val="00090409"/>
    <w:rsid w:val="00093E43"/>
    <w:rsid w:val="00097F4B"/>
    <w:rsid w:val="00123C75"/>
    <w:rsid w:val="00163268"/>
    <w:rsid w:val="001762C7"/>
    <w:rsid w:val="00190BF0"/>
    <w:rsid w:val="00295D5D"/>
    <w:rsid w:val="002C2585"/>
    <w:rsid w:val="00306DBC"/>
    <w:rsid w:val="003123A5"/>
    <w:rsid w:val="003264BF"/>
    <w:rsid w:val="00336152"/>
    <w:rsid w:val="00384D36"/>
    <w:rsid w:val="003C5140"/>
    <w:rsid w:val="003C6271"/>
    <w:rsid w:val="00411E8A"/>
    <w:rsid w:val="00480AE4"/>
    <w:rsid w:val="00507768"/>
    <w:rsid w:val="005D5CB2"/>
    <w:rsid w:val="005F1F9D"/>
    <w:rsid w:val="008B07C3"/>
    <w:rsid w:val="00925A57"/>
    <w:rsid w:val="00960C01"/>
    <w:rsid w:val="00977F67"/>
    <w:rsid w:val="009B53D1"/>
    <w:rsid w:val="00A04E68"/>
    <w:rsid w:val="00A26D7E"/>
    <w:rsid w:val="00AC542C"/>
    <w:rsid w:val="00B73C91"/>
    <w:rsid w:val="00B96932"/>
    <w:rsid w:val="00BA02E1"/>
    <w:rsid w:val="00BB0072"/>
    <w:rsid w:val="00BC3E1C"/>
    <w:rsid w:val="00C32586"/>
    <w:rsid w:val="00C660A7"/>
    <w:rsid w:val="00C71AFD"/>
    <w:rsid w:val="00C90078"/>
    <w:rsid w:val="00C94D56"/>
    <w:rsid w:val="00CE2EE2"/>
    <w:rsid w:val="00CE6C47"/>
    <w:rsid w:val="00DA5C28"/>
    <w:rsid w:val="00E14A8E"/>
    <w:rsid w:val="00E2108C"/>
    <w:rsid w:val="00E251B5"/>
    <w:rsid w:val="00F20AC1"/>
    <w:rsid w:val="02CF3932"/>
    <w:rsid w:val="0367F97F"/>
    <w:rsid w:val="03D76C2D"/>
    <w:rsid w:val="03D79EDE"/>
    <w:rsid w:val="04983E5B"/>
    <w:rsid w:val="04FB13D1"/>
    <w:rsid w:val="05725896"/>
    <w:rsid w:val="05A6AB96"/>
    <w:rsid w:val="07011CC2"/>
    <w:rsid w:val="07644792"/>
    <w:rsid w:val="08FED85A"/>
    <w:rsid w:val="09284798"/>
    <w:rsid w:val="0AB70F47"/>
    <w:rsid w:val="0AEE0C2A"/>
    <w:rsid w:val="0B5FF6A2"/>
    <w:rsid w:val="0B8855D9"/>
    <w:rsid w:val="0BAF9448"/>
    <w:rsid w:val="0BFDC6CE"/>
    <w:rsid w:val="0BFF317D"/>
    <w:rsid w:val="0DDC99DF"/>
    <w:rsid w:val="0DFB4A74"/>
    <w:rsid w:val="0DFD26E7"/>
    <w:rsid w:val="0E537B7A"/>
    <w:rsid w:val="0E7F2C57"/>
    <w:rsid w:val="0EDD6DB3"/>
    <w:rsid w:val="0EFB0BAB"/>
    <w:rsid w:val="0EFD8117"/>
    <w:rsid w:val="0F2B6FD9"/>
    <w:rsid w:val="0F3B3E35"/>
    <w:rsid w:val="0F63F677"/>
    <w:rsid w:val="0F7636A3"/>
    <w:rsid w:val="0F7B929F"/>
    <w:rsid w:val="0FAFCA4B"/>
    <w:rsid w:val="0FB7010D"/>
    <w:rsid w:val="0FE6362A"/>
    <w:rsid w:val="0FEB02E1"/>
    <w:rsid w:val="0FFB7EAB"/>
    <w:rsid w:val="0FFE6AAB"/>
    <w:rsid w:val="0FFEE3DE"/>
    <w:rsid w:val="0FFF06D7"/>
    <w:rsid w:val="0FFFFFD5"/>
    <w:rsid w:val="115EC070"/>
    <w:rsid w:val="11AF6620"/>
    <w:rsid w:val="11FB531B"/>
    <w:rsid w:val="11FF1752"/>
    <w:rsid w:val="12CE0666"/>
    <w:rsid w:val="12EE0BA3"/>
    <w:rsid w:val="1337F65C"/>
    <w:rsid w:val="13BFE50E"/>
    <w:rsid w:val="13D07C11"/>
    <w:rsid w:val="13E7A4A8"/>
    <w:rsid w:val="13F335D8"/>
    <w:rsid w:val="13FEC351"/>
    <w:rsid w:val="164045EE"/>
    <w:rsid w:val="16EF4B10"/>
    <w:rsid w:val="16EFC728"/>
    <w:rsid w:val="16F72129"/>
    <w:rsid w:val="16F755D1"/>
    <w:rsid w:val="173F5EB2"/>
    <w:rsid w:val="175CE375"/>
    <w:rsid w:val="177F6BC0"/>
    <w:rsid w:val="17BB4778"/>
    <w:rsid w:val="17CFC6D6"/>
    <w:rsid w:val="17DB4EFA"/>
    <w:rsid w:val="17DE7F6A"/>
    <w:rsid w:val="17F9F358"/>
    <w:rsid w:val="17FD2E52"/>
    <w:rsid w:val="17FE6ADE"/>
    <w:rsid w:val="17FED55A"/>
    <w:rsid w:val="17FF47B6"/>
    <w:rsid w:val="17FFF0B5"/>
    <w:rsid w:val="183C240D"/>
    <w:rsid w:val="19AF9D8B"/>
    <w:rsid w:val="19FE3418"/>
    <w:rsid w:val="19FF0689"/>
    <w:rsid w:val="1A271AB1"/>
    <w:rsid w:val="1A5EC3AF"/>
    <w:rsid w:val="1AA24D9F"/>
    <w:rsid w:val="1AFB1F2A"/>
    <w:rsid w:val="1B52FB30"/>
    <w:rsid w:val="1B796B4F"/>
    <w:rsid w:val="1B7D5273"/>
    <w:rsid w:val="1BED22AF"/>
    <w:rsid w:val="1BEEFBA5"/>
    <w:rsid w:val="1BEF8A79"/>
    <w:rsid w:val="1BF769CD"/>
    <w:rsid w:val="1BF77000"/>
    <w:rsid w:val="1BFA1B6B"/>
    <w:rsid w:val="1BFBA2D0"/>
    <w:rsid w:val="1C480DC6"/>
    <w:rsid w:val="1D3FCB41"/>
    <w:rsid w:val="1D73A349"/>
    <w:rsid w:val="1D7FFF12"/>
    <w:rsid w:val="1D8D6899"/>
    <w:rsid w:val="1D9D17A4"/>
    <w:rsid w:val="1D9E8543"/>
    <w:rsid w:val="1DC8546E"/>
    <w:rsid w:val="1DDF1F3A"/>
    <w:rsid w:val="1DE9386F"/>
    <w:rsid w:val="1E9FF8A1"/>
    <w:rsid w:val="1EAF723D"/>
    <w:rsid w:val="1EBFC5A6"/>
    <w:rsid w:val="1EF7F6CD"/>
    <w:rsid w:val="1EFF0226"/>
    <w:rsid w:val="1EFFB7E5"/>
    <w:rsid w:val="1F3D5600"/>
    <w:rsid w:val="1F5B9259"/>
    <w:rsid w:val="1F63E64E"/>
    <w:rsid w:val="1F6F1F0B"/>
    <w:rsid w:val="1F7D247F"/>
    <w:rsid w:val="1F9F29EF"/>
    <w:rsid w:val="1FA6E3DE"/>
    <w:rsid w:val="1FAAD08A"/>
    <w:rsid w:val="1FB7DF77"/>
    <w:rsid w:val="1FB9BE0C"/>
    <w:rsid w:val="1FBB653B"/>
    <w:rsid w:val="1FBF7604"/>
    <w:rsid w:val="1FBFBC63"/>
    <w:rsid w:val="1FC1B028"/>
    <w:rsid w:val="1FCF03FA"/>
    <w:rsid w:val="1FD88190"/>
    <w:rsid w:val="1FEDAECD"/>
    <w:rsid w:val="1FEDD66F"/>
    <w:rsid w:val="1FEE34FE"/>
    <w:rsid w:val="1FEECED5"/>
    <w:rsid w:val="1FEF3370"/>
    <w:rsid w:val="1FEF4D70"/>
    <w:rsid w:val="1FFC36ED"/>
    <w:rsid w:val="1FFCBBA0"/>
    <w:rsid w:val="1FFD7DB9"/>
    <w:rsid w:val="1FFEACCA"/>
    <w:rsid w:val="1FFECB9E"/>
    <w:rsid w:val="1FFFC60F"/>
    <w:rsid w:val="1FFFF90E"/>
    <w:rsid w:val="219F8368"/>
    <w:rsid w:val="21BA7310"/>
    <w:rsid w:val="21FB94D8"/>
    <w:rsid w:val="232C435A"/>
    <w:rsid w:val="234EB062"/>
    <w:rsid w:val="23BB2C86"/>
    <w:rsid w:val="23DE6543"/>
    <w:rsid w:val="23F5271E"/>
    <w:rsid w:val="23FF2823"/>
    <w:rsid w:val="23FFB35F"/>
    <w:rsid w:val="246C7D0E"/>
    <w:rsid w:val="24CEEA73"/>
    <w:rsid w:val="24DB3F6D"/>
    <w:rsid w:val="24FBBA0E"/>
    <w:rsid w:val="25F76B3B"/>
    <w:rsid w:val="25FF79EA"/>
    <w:rsid w:val="26795EC2"/>
    <w:rsid w:val="26A164AF"/>
    <w:rsid w:val="26BFA86F"/>
    <w:rsid w:val="26DFBB8D"/>
    <w:rsid w:val="26F85961"/>
    <w:rsid w:val="273657CC"/>
    <w:rsid w:val="27372ADD"/>
    <w:rsid w:val="277998A3"/>
    <w:rsid w:val="27AFA90B"/>
    <w:rsid w:val="27B73F2F"/>
    <w:rsid w:val="27BF4508"/>
    <w:rsid w:val="27CDEF08"/>
    <w:rsid w:val="27E77DA6"/>
    <w:rsid w:val="27EB75F5"/>
    <w:rsid w:val="27F3F6B2"/>
    <w:rsid w:val="27FF0EBF"/>
    <w:rsid w:val="27FF5B97"/>
    <w:rsid w:val="27FFEE61"/>
    <w:rsid w:val="286FDF60"/>
    <w:rsid w:val="28DA2E89"/>
    <w:rsid w:val="2953FD4E"/>
    <w:rsid w:val="29F78D43"/>
    <w:rsid w:val="2A4254F9"/>
    <w:rsid w:val="2A7F63D0"/>
    <w:rsid w:val="2A7FBA7C"/>
    <w:rsid w:val="2AEB4881"/>
    <w:rsid w:val="2AF37A82"/>
    <w:rsid w:val="2B7BD62D"/>
    <w:rsid w:val="2B7F13BE"/>
    <w:rsid w:val="2BAC1941"/>
    <w:rsid w:val="2BB77D54"/>
    <w:rsid w:val="2BB86A0D"/>
    <w:rsid w:val="2BDB52AA"/>
    <w:rsid w:val="2BF44F2D"/>
    <w:rsid w:val="2BFAE1FB"/>
    <w:rsid w:val="2BFBEDA5"/>
    <w:rsid w:val="2CBF0C7A"/>
    <w:rsid w:val="2CE54722"/>
    <w:rsid w:val="2D1F32F4"/>
    <w:rsid w:val="2D4C6A66"/>
    <w:rsid w:val="2D5F8BEF"/>
    <w:rsid w:val="2DB3E1B4"/>
    <w:rsid w:val="2DBB1BD4"/>
    <w:rsid w:val="2DBC8AA0"/>
    <w:rsid w:val="2DBDF5EF"/>
    <w:rsid w:val="2DDA7203"/>
    <w:rsid w:val="2DDB1393"/>
    <w:rsid w:val="2DDF796A"/>
    <w:rsid w:val="2DDFCD34"/>
    <w:rsid w:val="2DFEB624"/>
    <w:rsid w:val="2DFF8DBF"/>
    <w:rsid w:val="2DFF8E82"/>
    <w:rsid w:val="2E8F77B9"/>
    <w:rsid w:val="2E9F2BD6"/>
    <w:rsid w:val="2EB6E44B"/>
    <w:rsid w:val="2EBD1A33"/>
    <w:rsid w:val="2EDF46B1"/>
    <w:rsid w:val="2EEFC1CB"/>
    <w:rsid w:val="2EF24552"/>
    <w:rsid w:val="2EF57C47"/>
    <w:rsid w:val="2F3E4432"/>
    <w:rsid w:val="2F3FEE2E"/>
    <w:rsid w:val="2F44ACB3"/>
    <w:rsid w:val="2F4BFACF"/>
    <w:rsid w:val="2F5F42AF"/>
    <w:rsid w:val="2F5FDC64"/>
    <w:rsid w:val="2F6F5B9F"/>
    <w:rsid w:val="2F710438"/>
    <w:rsid w:val="2F7F1582"/>
    <w:rsid w:val="2F9F490D"/>
    <w:rsid w:val="2F9F857E"/>
    <w:rsid w:val="2F9FAB44"/>
    <w:rsid w:val="2FAC42B1"/>
    <w:rsid w:val="2FBBDB5E"/>
    <w:rsid w:val="2FBE6A7C"/>
    <w:rsid w:val="2FBFBAE1"/>
    <w:rsid w:val="2FCD0D41"/>
    <w:rsid w:val="2FCF3C71"/>
    <w:rsid w:val="2FDD2920"/>
    <w:rsid w:val="2FE38DD7"/>
    <w:rsid w:val="2FE92ABE"/>
    <w:rsid w:val="2FF77507"/>
    <w:rsid w:val="2FFA18F3"/>
    <w:rsid w:val="2FFB0010"/>
    <w:rsid w:val="2FFDB9E4"/>
    <w:rsid w:val="2FFF6F8F"/>
    <w:rsid w:val="30E745D3"/>
    <w:rsid w:val="30FFF50D"/>
    <w:rsid w:val="315FBDCE"/>
    <w:rsid w:val="31D57718"/>
    <w:rsid w:val="31F73254"/>
    <w:rsid w:val="31FDDF60"/>
    <w:rsid w:val="323B4D81"/>
    <w:rsid w:val="327F2001"/>
    <w:rsid w:val="32BDCADC"/>
    <w:rsid w:val="32BED92D"/>
    <w:rsid w:val="32F368D0"/>
    <w:rsid w:val="331D8423"/>
    <w:rsid w:val="334FF6EC"/>
    <w:rsid w:val="335BDE2C"/>
    <w:rsid w:val="336F6AE6"/>
    <w:rsid w:val="338FCC6D"/>
    <w:rsid w:val="33DF0356"/>
    <w:rsid w:val="33E7AD37"/>
    <w:rsid w:val="33F720A1"/>
    <w:rsid w:val="33FE0128"/>
    <w:rsid w:val="34B70380"/>
    <w:rsid w:val="3515148D"/>
    <w:rsid w:val="35413768"/>
    <w:rsid w:val="354D8041"/>
    <w:rsid w:val="356A4357"/>
    <w:rsid w:val="3574F16D"/>
    <w:rsid w:val="357BA368"/>
    <w:rsid w:val="357F7268"/>
    <w:rsid w:val="3597BA68"/>
    <w:rsid w:val="35D9F809"/>
    <w:rsid w:val="35DF0AB9"/>
    <w:rsid w:val="35DF861E"/>
    <w:rsid w:val="35EE2E62"/>
    <w:rsid w:val="35EFDF7F"/>
    <w:rsid w:val="35F6346A"/>
    <w:rsid w:val="35F6E5AA"/>
    <w:rsid w:val="35FDCF27"/>
    <w:rsid w:val="36284711"/>
    <w:rsid w:val="364FBA32"/>
    <w:rsid w:val="367525DA"/>
    <w:rsid w:val="36C751FE"/>
    <w:rsid w:val="36DCBFDC"/>
    <w:rsid w:val="36F8ED29"/>
    <w:rsid w:val="36FAEECE"/>
    <w:rsid w:val="372FA2A9"/>
    <w:rsid w:val="373BD28C"/>
    <w:rsid w:val="377B12A1"/>
    <w:rsid w:val="377D2BE2"/>
    <w:rsid w:val="379EC02A"/>
    <w:rsid w:val="37A46D00"/>
    <w:rsid w:val="37B42F29"/>
    <w:rsid w:val="37B63E41"/>
    <w:rsid w:val="37BDE750"/>
    <w:rsid w:val="37BEEB87"/>
    <w:rsid w:val="37CFCC69"/>
    <w:rsid w:val="37D709BC"/>
    <w:rsid w:val="37DB88AD"/>
    <w:rsid w:val="37DF63D1"/>
    <w:rsid w:val="37E3C6C3"/>
    <w:rsid w:val="37EE4426"/>
    <w:rsid w:val="37EFEA34"/>
    <w:rsid w:val="37F29421"/>
    <w:rsid w:val="37F63D6E"/>
    <w:rsid w:val="37FA18C4"/>
    <w:rsid w:val="37FAAE9E"/>
    <w:rsid w:val="37FB4692"/>
    <w:rsid w:val="37FC826A"/>
    <w:rsid w:val="37FCED15"/>
    <w:rsid w:val="37FE137F"/>
    <w:rsid w:val="37FFABD4"/>
    <w:rsid w:val="3817043A"/>
    <w:rsid w:val="38CA9D3D"/>
    <w:rsid w:val="38DB01DF"/>
    <w:rsid w:val="38F56D0F"/>
    <w:rsid w:val="38FEF05C"/>
    <w:rsid w:val="397D543F"/>
    <w:rsid w:val="3987CC79"/>
    <w:rsid w:val="39BE2EEA"/>
    <w:rsid w:val="39CF1AA4"/>
    <w:rsid w:val="39DF5D73"/>
    <w:rsid w:val="39F910DD"/>
    <w:rsid w:val="39FF3BFC"/>
    <w:rsid w:val="39FFB315"/>
    <w:rsid w:val="3A6F59F2"/>
    <w:rsid w:val="3A6F8178"/>
    <w:rsid w:val="3A7B01C9"/>
    <w:rsid w:val="3A7BD49B"/>
    <w:rsid w:val="3A7F1649"/>
    <w:rsid w:val="3AD2DD98"/>
    <w:rsid w:val="3AE174A3"/>
    <w:rsid w:val="3AE35EF9"/>
    <w:rsid w:val="3AE42259"/>
    <w:rsid w:val="3AEFE128"/>
    <w:rsid w:val="3AFAB3F7"/>
    <w:rsid w:val="3AFBB9A9"/>
    <w:rsid w:val="3AFD0B56"/>
    <w:rsid w:val="3B3ED9D9"/>
    <w:rsid w:val="3B56D0E0"/>
    <w:rsid w:val="3B5EC14B"/>
    <w:rsid w:val="3B61B252"/>
    <w:rsid w:val="3B6BC9FD"/>
    <w:rsid w:val="3B7F64AB"/>
    <w:rsid w:val="3B9E4242"/>
    <w:rsid w:val="3BAB99F6"/>
    <w:rsid w:val="3BBAB611"/>
    <w:rsid w:val="3BBB7A31"/>
    <w:rsid w:val="3BCD2783"/>
    <w:rsid w:val="3BD73E58"/>
    <w:rsid w:val="3BDDE44F"/>
    <w:rsid w:val="3BE441C6"/>
    <w:rsid w:val="3BE75600"/>
    <w:rsid w:val="3BEFCFB0"/>
    <w:rsid w:val="3BF141AE"/>
    <w:rsid w:val="3BF2A201"/>
    <w:rsid w:val="3BF5A29D"/>
    <w:rsid w:val="3BF77F6A"/>
    <w:rsid w:val="3BF7E5D9"/>
    <w:rsid w:val="3BFBB6D8"/>
    <w:rsid w:val="3BFBF266"/>
    <w:rsid w:val="3BFF4556"/>
    <w:rsid w:val="3BFF6F22"/>
    <w:rsid w:val="3C3F5110"/>
    <w:rsid w:val="3C4C2CFF"/>
    <w:rsid w:val="3C4EAEC5"/>
    <w:rsid w:val="3C6BE62F"/>
    <w:rsid w:val="3CDFCFC7"/>
    <w:rsid w:val="3CE7691E"/>
    <w:rsid w:val="3CF5FC74"/>
    <w:rsid w:val="3CF794B9"/>
    <w:rsid w:val="3D2D3DD4"/>
    <w:rsid w:val="3D5D0AE4"/>
    <w:rsid w:val="3D6F8C68"/>
    <w:rsid w:val="3D6F9F8A"/>
    <w:rsid w:val="3D70C711"/>
    <w:rsid w:val="3D7FFCE5"/>
    <w:rsid w:val="3D9995C6"/>
    <w:rsid w:val="3D9FE767"/>
    <w:rsid w:val="3DA726D7"/>
    <w:rsid w:val="3DA752DD"/>
    <w:rsid w:val="3DAF9B61"/>
    <w:rsid w:val="3DB244D1"/>
    <w:rsid w:val="3DBE8097"/>
    <w:rsid w:val="3DD35185"/>
    <w:rsid w:val="3DDD34BC"/>
    <w:rsid w:val="3DDF81FD"/>
    <w:rsid w:val="3DE3BC76"/>
    <w:rsid w:val="3DEF5A8E"/>
    <w:rsid w:val="3DEF5E51"/>
    <w:rsid w:val="3DF2D876"/>
    <w:rsid w:val="3DF38136"/>
    <w:rsid w:val="3DF65E55"/>
    <w:rsid w:val="3DFB4DC6"/>
    <w:rsid w:val="3DFCA401"/>
    <w:rsid w:val="3DFE3D95"/>
    <w:rsid w:val="3DFE7406"/>
    <w:rsid w:val="3DFE8AF6"/>
    <w:rsid w:val="3DFEE52E"/>
    <w:rsid w:val="3DFF9C76"/>
    <w:rsid w:val="3E3FBB62"/>
    <w:rsid w:val="3E6FB261"/>
    <w:rsid w:val="3E7DB5C3"/>
    <w:rsid w:val="3E7F13F8"/>
    <w:rsid w:val="3E91739C"/>
    <w:rsid w:val="3EAF5826"/>
    <w:rsid w:val="3EAFB751"/>
    <w:rsid w:val="3EBB7CDF"/>
    <w:rsid w:val="3EBF30C6"/>
    <w:rsid w:val="3EDDCC32"/>
    <w:rsid w:val="3EDF9F21"/>
    <w:rsid w:val="3EF73C1B"/>
    <w:rsid w:val="3EF96591"/>
    <w:rsid w:val="3EFCE0AF"/>
    <w:rsid w:val="3EFD526B"/>
    <w:rsid w:val="3EFF2888"/>
    <w:rsid w:val="3EFF6B34"/>
    <w:rsid w:val="3EFFCD6E"/>
    <w:rsid w:val="3EFFD4F5"/>
    <w:rsid w:val="3F0BDCF8"/>
    <w:rsid w:val="3F3A359E"/>
    <w:rsid w:val="3F3DD4A3"/>
    <w:rsid w:val="3F3EDC6B"/>
    <w:rsid w:val="3F3F7777"/>
    <w:rsid w:val="3F4704B5"/>
    <w:rsid w:val="3F5B612A"/>
    <w:rsid w:val="3F5CC5D8"/>
    <w:rsid w:val="3F5F2B43"/>
    <w:rsid w:val="3F6B1B31"/>
    <w:rsid w:val="3F6FEF56"/>
    <w:rsid w:val="3F70324C"/>
    <w:rsid w:val="3F7066C1"/>
    <w:rsid w:val="3F736DE6"/>
    <w:rsid w:val="3F7B65A1"/>
    <w:rsid w:val="3F7BEBB6"/>
    <w:rsid w:val="3F7D417C"/>
    <w:rsid w:val="3F7F632D"/>
    <w:rsid w:val="3F7F6ADA"/>
    <w:rsid w:val="3F7FEA57"/>
    <w:rsid w:val="3F8D4435"/>
    <w:rsid w:val="3F8D5A76"/>
    <w:rsid w:val="3F978F1A"/>
    <w:rsid w:val="3F97B5D3"/>
    <w:rsid w:val="3F9F7BCA"/>
    <w:rsid w:val="3FA6B141"/>
    <w:rsid w:val="3FAB1A2F"/>
    <w:rsid w:val="3FB22691"/>
    <w:rsid w:val="3FB68EB9"/>
    <w:rsid w:val="3FB77FDF"/>
    <w:rsid w:val="3FB83C0F"/>
    <w:rsid w:val="3FBA7B98"/>
    <w:rsid w:val="3FBB019E"/>
    <w:rsid w:val="3FBC5A8A"/>
    <w:rsid w:val="3FBDD954"/>
    <w:rsid w:val="3FBE99C8"/>
    <w:rsid w:val="3FBF2139"/>
    <w:rsid w:val="3FBF6977"/>
    <w:rsid w:val="3FBF720E"/>
    <w:rsid w:val="3FBF91C9"/>
    <w:rsid w:val="3FBFB2FD"/>
    <w:rsid w:val="3FBFC5E5"/>
    <w:rsid w:val="3FBFFBC1"/>
    <w:rsid w:val="3FBFFD33"/>
    <w:rsid w:val="3FC8C946"/>
    <w:rsid w:val="3FCF2AE9"/>
    <w:rsid w:val="3FCF51A9"/>
    <w:rsid w:val="3FCFB0C4"/>
    <w:rsid w:val="3FCFCDAD"/>
    <w:rsid w:val="3FD74885"/>
    <w:rsid w:val="3FD91EC5"/>
    <w:rsid w:val="3FDD4461"/>
    <w:rsid w:val="3FDF722E"/>
    <w:rsid w:val="3FDF7D35"/>
    <w:rsid w:val="3FDFC7D0"/>
    <w:rsid w:val="3FEB82D8"/>
    <w:rsid w:val="3FEDBAD9"/>
    <w:rsid w:val="3FEDF6FC"/>
    <w:rsid w:val="3FF191A6"/>
    <w:rsid w:val="3FF1E008"/>
    <w:rsid w:val="3FF33345"/>
    <w:rsid w:val="3FF59546"/>
    <w:rsid w:val="3FF6C33E"/>
    <w:rsid w:val="3FF7D92D"/>
    <w:rsid w:val="3FFB8058"/>
    <w:rsid w:val="3FFBF432"/>
    <w:rsid w:val="3FFE2270"/>
    <w:rsid w:val="3FFE4E09"/>
    <w:rsid w:val="3FFEB54E"/>
    <w:rsid w:val="3FFEF8D0"/>
    <w:rsid w:val="3FFF3A4F"/>
    <w:rsid w:val="3FFF3AF7"/>
    <w:rsid w:val="3FFF701F"/>
    <w:rsid w:val="3FFF7A7E"/>
    <w:rsid w:val="3FFF91F0"/>
    <w:rsid w:val="3FFF99EB"/>
    <w:rsid w:val="3FFFC2F8"/>
    <w:rsid w:val="3FFFD4D2"/>
    <w:rsid w:val="3FFFF650"/>
    <w:rsid w:val="41BEEE60"/>
    <w:rsid w:val="42CAB69E"/>
    <w:rsid w:val="42EFE1E4"/>
    <w:rsid w:val="43446334"/>
    <w:rsid w:val="435F26F7"/>
    <w:rsid w:val="43F7D276"/>
    <w:rsid w:val="43F838A9"/>
    <w:rsid w:val="43FB682C"/>
    <w:rsid w:val="44A84E71"/>
    <w:rsid w:val="44B7A6F8"/>
    <w:rsid w:val="44F7D458"/>
    <w:rsid w:val="453E4960"/>
    <w:rsid w:val="459F7D22"/>
    <w:rsid w:val="45AF0F37"/>
    <w:rsid w:val="45DF0369"/>
    <w:rsid w:val="45FB3E80"/>
    <w:rsid w:val="45FFE806"/>
    <w:rsid w:val="46324D03"/>
    <w:rsid w:val="46A5DA52"/>
    <w:rsid w:val="46B903B8"/>
    <w:rsid w:val="474743B8"/>
    <w:rsid w:val="477DCE1E"/>
    <w:rsid w:val="47BB1484"/>
    <w:rsid w:val="47CF8F80"/>
    <w:rsid w:val="47DF774F"/>
    <w:rsid w:val="47EFB702"/>
    <w:rsid w:val="47FBDB52"/>
    <w:rsid w:val="47FF05FC"/>
    <w:rsid w:val="47FF2BBC"/>
    <w:rsid w:val="48EA2210"/>
    <w:rsid w:val="496F8636"/>
    <w:rsid w:val="49D723CB"/>
    <w:rsid w:val="49DE09D4"/>
    <w:rsid w:val="4A9F7226"/>
    <w:rsid w:val="4ABEC70D"/>
    <w:rsid w:val="4AF7A3B7"/>
    <w:rsid w:val="4AFE7D12"/>
    <w:rsid w:val="4B3F3910"/>
    <w:rsid w:val="4B3FD80D"/>
    <w:rsid w:val="4B7FB4F9"/>
    <w:rsid w:val="4B9FE636"/>
    <w:rsid w:val="4BDE4B90"/>
    <w:rsid w:val="4BEF0CE0"/>
    <w:rsid w:val="4BEF6CB2"/>
    <w:rsid w:val="4BF29692"/>
    <w:rsid w:val="4BFDAD30"/>
    <w:rsid w:val="4BFF07C9"/>
    <w:rsid w:val="4BFF1365"/>
    <w:rsid w:val="4C7FB995"/>
    <w:rsid w:val="4C9D447C"/>
    <w:rsid w:val="4CBF3162"/>
    <w:rsid w:val="4CEB464B"/>
    <w:rsid w:val="4CF1DDE1"/>
    <w:rsid w:val="4DA73D14"/>
    <w:rsid w:val="4DB56781"/>
    <w:rsid w:val="4DBBBF01"/>
    <w:rsid w:val="4DBE45FD"/>
    <w:rsid w:val="4DCF0EED"/>
    <w:rsid w:val="4DD646E8"/>
    <w:rsid w:val="4DFA9E07"/>
    <w:rsid w:val="4E3DD439"/>
    <w:rsid w:val="4E7EC587"/>
    <w:rsid w:val="4E7F13E9"/>
    <w:rsid w:val="4EA76F6F"/>
    <w:rsid w:val="4EEBA161"/>
    <w:rsid w:val="4F3684ED"/>
    <w:rsid w:val="4F37F4CB"/>
    <w:rsid w:val="4F3B2906"/>
    <w:rsid w:val="4F3D869B"/>
    <w:rsid w:val="4F4F8892"/>
    <w:rsid w:val="4F5BC1C4"/>
    <w:rsid w:val="4F5F73E7"/>
    <w:rsid w:val="4F6E80AA"/>
    <w:rsid w:val="4F770893"/>
    <w:rsid w:val="4F7EF6A3"/>
    <w:rsid w:val="4F7FAEFF"/>
    <w:rsid w:val="4F9A25D3"/>
    <w:rsid w:val="4FBB6E54"/>
    <w:rsid w:val="4FBDF50D"/>
    <w:rsid w:val="4FCEAAFB"/>
    <w:rsid w:val="4FCF3D9A"/>
    <w:rsid w:val="4FD1BBC4"/>
    <w:rsid w:val="4FDB8815"/>
    <w:rsid w:val="4FDFCF99"/>
    <w:rsid w:val="4FDFE114"/>
    <w:rsid w:val="4FE247D1"/>
    <w:rsid w:val="4FFB6D75"/>
    <w:rsid w:val="4FFDF3FB"/>
    <w:rsid w:val="4FFF2F95"/>
    <w:rsid w:val="4FFF4C7F"/>
    <w:rsid w:val="4FFF7EA4"/>
    <w:rsid w:val="4FFFBB13"/>
    <w:rsid w:val="50BBD5E6"/>
    <w:rsid w:val="50EFA5B6"/>
    <w:rsid w:val="51BE1C8F"/>
    <w:rsid w:val="51E3B9D1"/>
    <w:rsid w:val="51FC6D2E"/>
    <w:rsid w:val="528B5C4F"/>
    <w:rsid w:val="52BFE207"/>
    <w:rsid w:val="533F2FE8"/>
    <w:rsid w:val="537990E3"/>
    <w:rsid w:val="537F958B"/>
    <w:rsid w:val="53AFF504"/>
    <w:rsid w:val="53B67C76"/>
    <w:rsid w:val="53B7E337"/>
    <w:rsid w:val="53BF3EC6"/>
    <w:rsid w:val="53DFDD26"/>
    <w:rsid w:val="53EEA8BA"/>
    <w:rsid w:val="53FD9D9A"/>
    <w:rsid w:val="53FE669B"/>
    <w:rsid w:val="53FF7F1D"/>
    <w:rsid w:val="545FAC3D"/>
    <w:rsid w:val="547FD5FD"/>
    <w:rsid w:val="54903CAB"/>
    <w:rsid w:val="549F29CD"/>
    <w:rsid w:val="54E5C326"/>
    <w:rsid w:val="54E5D060"/>
    <w:rsid w:val="54EBDFE9"/>
    <w:rsid w:val="55593BCE"/>
    <w:rsid w:val="5566D16D"/>
    <w:rsid w:val="55D6A9F6"/>
    <w:rsid w:val="55EE077A"/>
    <w:rsid w:val="55EE268E"/>
    <w:rsid w:val="55F6B33F"/>
    <w:rsid w:val="55F75E75"/>
    <w:rsid w:val="55FA967E"/>
    <w:rsid w:val="55FF9ABD"/>
    <w:rsid w:val="55FFA118"/>
    <w:rsid w:val="56ACF4C2"/>
    <w:rsid w:val="56FC8169"/>
    <w:rsid w:val="56FD0699"/>
    <w:rsid w:val="56FF8C9F"/>
    <w:rsid w:val="573E1E21"/>
    <w:rsid w:val="57578A14"/>
    <w:rsid w:val="577A7E4E"/>
    <w:rsid w:val="577D7628"/>
    <w:rsid w:val="577EA63E"/>
    <w:rsid w:val="57AF3C78"/>
    <w:rsid w:val="57B726B0"/>
    <w:rsid w:val="57BEEAA1"/>
    <w:rsid w:val="57BF0E2F"/>
    <w:rsid w:val="57BF12A6"/>
    <w:rsid w:val="57DDFD88"/>
    <w:rsid w:val="57EB219F"/>
    <w:rsid w:val="57EC9BF5"/>
    <w:rsid w:val="57ED71C0"/>
    <w:rsid w:val="57EF3D57"/>
    <w:rsid w:val="57EF5456"/>
    <w:rsid w:val="57F32EDF"/>
    <w:rsid w:val="57F50EBE"/>
    <w:rsid w:val="57F6C75F"/>
    <w:rsid w:val="57FB64F9"/>
    <w:rsid w:val="57FB723A"/>
    <w:rsid w:val="57FBC143"/>
    <w:rsid w:val="57FD6AF6"/>
    <w:rsid w:val="57FE5C05"/>
    <w:rsid w:val="57FE9BA8"/>
    <w:rsid w:val="57FF9A9F"/>
    <w:rsid w:val="57FFB227"/>
    <w:rsid w:val="57FFE50A"/>
    <w:rsid w:val="58FFE4B0"/>
    <w:rsid w:val="596F35FF"/>
    <w:rsid w:val="597B009D"/>
    <w:rsid w:val="597DB2A8"/>
    <w:rsid w:val="59977037"/>
    <w:rsid w:val="59D637FB"/>
    <w:rsid w:val="59E13368"/>
    <w:rsid w:val="59E853DD"/>
    <w:rsid w:val="59F18D3B"/>
    <w:rsid w:val="59F9662A"/>
    <w:rsid w:val="5A26BF4B"/>
    <w:rsid w:val="5ABFAEF8"/>
    <w:rsid w:val="5AFBF7BA"/>
    <w:rsid w:val="5AFDB3FF"/>
    <w:rsid w:val="5AFF7C99"/>
    <w:rsid w:val="5AFFF5E0"/>
    <w:rsid w:val="5B3FB524"/>
    <w:rsid w:val="5B487E91"/>
    <w:rsid w:val="5B5974BC"/>
    <w:rsid w:val="5B5EFB1D"/>
    <w:rsid w:val="5B755085"/>
    <w:rsid w:val="5B777280"/>
    <w:rsid w:val="5B7B8C26"/>
    <w:rsid w:val="5B7FF34D"/>
    <w:rsid w:val="5BAB7261"/>
    <w:rsid w:val="5BB4A84B"/>
    <w:rsid w:val="5BB792D9"/>
    <w:rsid w:val="5BBA14DB"/>
    <w:rsid w:val="5BBB69E4"/>
    <w:rsid w:val="5BBDEEBF"/>
    <w:rsid w:val="5BDE678B"/>
    <w:rsid w:val="5BDE7440"/>
    <w:rsid w:val="5BE5B80C"/>
    <w:rsid w:val="5BECAD5A"/>
    <w:rsid w:val="5BEF6A74"/>
    <w:rsid w:val="5BEF964B"/>
    <w:rsid w:val="5BEFC8DD"/>
    <w:rsid w:val="5BF3130A"/>
    <w:rsid w:val="5BF905AA"/>
    <w:rsid w:val="5BFB03BF"/>
    <w:rsid w:val="5BFE6F90"/>
    <w:rsid w:val="5BFE8E7E"/>
    <w:rsid w:val="5BFEA358"/>
    <w:rsid w:val="5BFFB2B8"/>
    <w:rsid w:val="5BFFD3C8"/>
    <w:rsid w:val="5C27998A"/>
    <w:rsid w:val="5C5E3A50"/>
    <w:rsid w:val="5C7D9A1A"/>
    <w:rsid w:val="5CB7EA54"/>
    <w:rsid w:val="5CB94ED4"/>
    <w:rsid w:val="5CBA8BAA"/>
    <w:rsid w:val="5CBD7DD4"/>
    <w:rsid w:val="5CCA69A5"/>
    <w:rsid w:val="5CD7B9E7"/>
    <w:rsid w:val="5CDBAC9C"/>
    <w:rsid w:val="5CED979F"/>
    <w:rsid w:val="5CF9550F"/>
    <w:rsid w:val="5CFFAF9B"/>
    <w:rsid w:val="5D3F68C0"/>
    <w:rsid w:val="5D4FE3EA"/>
    <w:rsid w:val="5D57842F"/>
    <w:rsid w:val="5D5FC2BA"/>
    <w:rsid w:val="5D7B4F68"/>
    <w:rsid w:val="5D7FF02C"/>
    <w:rsid w:val="5DAB7401"/>
    <w:rsid w:val="5DAC7BE5"/>
    <w:rsid w:val="5DAE6D6E"/>
    <w:rsid w:val="5DAFF5D4"/>
    <w:rsid w:val="5DBE0E91"/>
    <w:rsid w:val="5DBE231D"/>
    <w:rsid w:val="5DBF1E0E"/>
    <w:rsid w:val="5DDC70EE"/>
    <w:rsid w:val="5DDCC198"/>
    <w:rsid w:val="5DE3A465"/>
    <w:rsid w:val="5DEA81ED"/>
    <w:rsid w:val="5DEB829E"/>
    <w:rsid w:val="5DEEC251"/>
    <w:rsid w:val="5DEF1136"/>
    <w:rsid w:val="5DEFB8AB"/>
    <w:rsid w:val="5DF7E768"/>
    <w:rsid w:val="5DF97F2B"/>
    <w:rsid w:val="5DFA7731"/>
    <w:rsid w:val="5DFAA9B2"/>
    <w:rsid w:val="5DFB282A"/>
    <w:rsid w:val="5DFB5C24"/>
    <w:rsid w:val="5DFB7CEE"/>
    <w:rsid w:val="5DFDF17D"/>
    <w:rsid w:val="5DFF84B0"/>
    <w:rsid w:val="5E31DDBB"/>
    <w:rsid w:val="5E323A81"/>
    <w:rsid w:val="5E37DF25"/>
    <w:rsid w:val="5E5F5171"/>
    <w:rsid w:val="5E6F9F8E"/>
    <w:rsid w:val="5E7FD3E8"/>
    <w:rsid w:val="5EAE74A6"/>
    <w:rsid w:val="5EB3B8CE"/>
    <w:rsid w:val="5EB7C880"/>
    <w:rsid w:val="5EBFA54F"/>
    <w:rsid w:val="5EC3CFD7"/>
    <w:rsid w:val="5EC6C646"/>
    <w:rsid w:val="5ECB7ED3"/>
    <w:rsid w:val="5ED3F90B"/>
    <w:rsid w:val="5ED76B21"/>
    <w:rsid w:val="5ED7B732"/>
    <w:rsid w:val="5EDC5EFC"/>
    <w:rsid w:val="5EDE1ABB"/>
    <w:rsid w:val="5EE755C6"/>
    <w:rsid w:val="5EE77D68"/>
    <w:rsid w:val="5EED38AE"/>
    <w:rsid w:val="5EF36142"/>
    <w:rsid w:val="5EFAA8D9"/>
    <w:rsid w:val="5EFDA512"/>
    <w:rsid w:val="5EFEBDE8"/>
    <w:rsid w:val="5EFF1DDC"/>
    <w:rsid w:val="5EFF5F42"/>
    <w:rsid w:val="5EFF7A6C"/>
    <w:rsid w:val="5EFFD591"/>
    <w:rsid w:val="5EFFE9D0"/>
    <w:rsid w:val="5F1BAC5E"/>
    <w:rsid w:val="5F3E4510"/>
    <w:rsid w:val="5F3F7594"/>
    <w:rsid w:val="5F51145E"/>
    <w:rsid w:val="5F571F74"/>
    <w:rsid w:val="5F5E2681"/>
    <w:rsid w:val="5F5E9579"/>
    <w:rsid w:val="5F6B80CC"/>
    <w:rsid w:val="5F6F0A41"/>
    <w:rsid w:val="5F752973"/>
    <w:rsid w:val="5F768766"/>
    <w:rsid w:val="5F770894"/>
    <w:rsid w:val="5F7799D4"/>
    <w:rsid w:val="5F7A6A80"/>
    <w:rsid w:val="5F7C11A0"/>
    <w:rsid w:val="5F7D60F4"/>
    <w:rsid w:val="5F7DBD7D"/>
    <w:rsid w:val="5F7EB7BF"/>
    <w:rsid w:val="5F7EF7A0"/>
    <w:rsid w:val="5F7F2768"/>
    <w:rsid w:val="5F7FB0C7"/>
    <w:rsid w:val="5F7FD745"/>
    <w:rsid w:val="5F855D29"/>
    <w:rsid w:val="5F8DC6C6"/>
    <w:rsid w:val="5F8F0251"/>
    <w:rsid w:val="5F8FF7BA"/>
    <w:rsid w:val="5F9F1690"/>
    <w:rsid w:val="5F9FB500"/>
    <w:rsid w:val="5FACAF75"/>
    <w:rsid w:val="5FAD4207"/>
    <w:rsid w:val="5FAE595E"/>
    <w:rsid w:val="5FAEB455"/>
    <w:rsid w:val="5FAFBA71"/>
    <w:rsid w:val="5FB6CCB8"/>
    <w:rsid w:val="5FB9F700"/>
    <w:rsid w:val="5FBB0FD8"/>
    <w:rsid w:val="5FBB4031"/>
    <w:rsid w:val="5FBD53A4"/>
    <w:rsid w:val="5FBD8495"/>
    <w:rsid w:val="5FBD8521"/>
    <w:rsid w:val="5FBE3452"/>
    <w:rsid w:val="5FBF0B46"/>
    <w:rsid w:val="5FBF125C"/>
    <w:rsid w:val="5FBF3A1D"/>
    <w:rsid w:val="5FBF5E3D"/>
    <w:rsid w:val="5FBF8E1E"/>
    <w:rsid w:val="5FCB7F77"/>
    <w:rsid w:val="5FCD7ACC"/>
    <w:rsid w:val="5FCF069D"/>
    <w:rsid w:val="5FCF228D"/>
    <w:rsid w:val="5FCFDEFB"/>
    <w:rsid w:val="5FD3F32A"/>
    <w:rsid w:val="5FDB2590"/>
    <w:rsid w:val="5FDB3356"/>
    <w:rsid w:val="5FDB771A"/>
    <w:rsid w:val="5FDDED64"/>
    <w:rsid w:val="5FDE55E1"/>
    <w:rsid w:val="5FDE7636"/>
    <w:rsid w:val="5FDF58DE"/>
    <w:rsid w:val="5FDF9E55"/>
    <w:rsid w:val="5FE74C16"/>
    <w:rsid w:val="5FE772F0"/>
    <w:rsid w:val="5FE7D47C"/>
    <w:rsid w:val="5FE9C37D"/>
    <w:rsid w:val="5FEB7BD6"/>
    <w:rsid w:val="5FED3E0B"/>
    <w:rsid w:val="5FED8B8E"/>
    <w:rsid w:val="5FEF6B43"/>
    <w:rsid w:val="5FEF8EA2"/>
    <w:rsid w:val="5FF2D68F"/>
    <w:rsid w:val="5FF40431"/>
    <w:rsid w:val="5FF44B17"/>
    <w:rsid w:val="5FF6CB63"/>
    <w:rsid w:val="5FF72FAE"/>
    <w:rsid w:val="5FF73222"/>
    <w:rsid w:val="5FF75A92"/>
    <w:rsid w:val="5FF77A8B"/>
    <w:rsid w:val="5FF78C51"/>
    <w:rsid w:val="5FF79712"/>
    <w:rsid w:val="5FF7CCA8"/>
    <w:rsid w:val="5FF97F8A"/>
    <w:rsid w:val="5FFBB236"/>
    <w:rsid w:val="5FFBFB9E"/>
    <w:rsid w:val="5FFCA33E"/>
    <w:rsid w:val="5FFD01B2"/>
    <w:rsid w:val="5FFD084D"/>
    <w:rsid w:val="5FFE0FEC"/>
    <w:rsid w:val="5FFE78F1"/>
    <w:rsid w:val="5FFE99C1"/>
    <w:rsid w:val="5FFED765"/>
    <w:rsid w:val="5FFF1990"/>
    <w:rsid w:val="5FFF2D46"/>
    <w:rsid w:val="5FFF8A1B"/>
    <w:rsid w:val="5FFFA0AF"/>
    <w:rsid w:val="5FFFE80E"/>
    <w:rsid w:val="5FFFE91B"/>
    <w:rsid w:val="60337105"/>
    <w:rsid w:val="603EA2CC"/>
    <w:rsid w:val="619A53D2"/>
    <w:rsid w:val="61AF5B32"/>
    <w:rsid w:val="61FB623C"/>
    <w:rsid w:val="61FD1818"/>
    <w:rsid w:val="61FD8074"/>
    <w:rsid w:val="62F70929"/>
    <w:rsid w:val="62FFB6EB"/>
    <w:rsid w:val="635D6B9D"/>
    <w:rsid w:val="63DA1B78"/>
    <w:rsid w:val="63DBD9C2"/>
    <w:rsid w:val="63EEB42A"/>
    <w:rsid w:val="63EF2A71"/>
    <w:rsid w:val="63EF837B"/>
    <w:rsid w:val="63FF60D4"/>
    <w:rsid w:val="63FF6F03"/>
    <w:rsid w:val="63FF75CB"/>
    <w:rsid w:val="642C4C74"/>
    <w:rsid w:val="64E7AB8A"/>
    <w:rsid w:val="64EDC758"/>
    <w:rsid w:val="655FB950"/>
    <w:rsid w:val="6573BC97"/>
    <w:rsid w:val="657F1AD4"/>
    <w:rsid w:val="65CFF635"/>
    <w:rsid w:val="65F4444A"/>
    <w:rsid w:val="65F60288"/>
    <w:rsid w:val="65F76C88"/>
    <w:rsid w:val="65FE87EA"/>
    <w:rsid w:val="66BD9B59"/>
    <w:rsid w:val="66BEE1DC"/>
    <w:rsid w:val="66BFF313"/>
    <w:rsid w:val="66F28B09"/>
    <w:rsid w:val="66FA1AF6"/>
    <w:rsid w:val="66FD1369"/>
    <w:rsid w:val="66FDB9FB"/>
    <w:rsid w:val="673FFF36"/>
    <w:rsid w:val="67783572"/>
    <w:rsid w:val="677B4030"/>
    <w:rsid w:val="677FDB19"/>
    <w:rsid w:val="67A7079D"/>
    <w:rsid w:val="67ADF8D8"/>
    <w:rsid w:val="67AE8AD4"/>
    <w:rsid w:val="67BA931D"/>
    <w:rsid w:val="67BB9164"/>
    <w:rsid w:val="67BD19F6"/>
    <w:rsid w:val="67BE9089"/>
    <w:rsid w:val="67D76C4D"/>
    <w:rsid w:val="67DA0106"/>
    <w:rsid w:val="67DF6087"/>
    <w:rsid w:val="67E3C0E2"/>
    <w:rsid w:val="67ED5CB3"/>
    <w:rsid w:val="67EF115A"/>
    <w:rsid w:val="67EF4A97"/>
    <w:rsid w:val="67F07A99"/>
    <w:rsid w:val="67F5906F"/>
    <w:rsid w:val="67F6896C"/>
    <w:rsid w:val="67F70B75"/>
    <w:rsid w:val="67F94DCF"/>
    <w:rsid w:val="67FB7BCD"/>
    <w:rsid w:val="67FBD1D1"/>
    <w:rsid w:val="67FC2E01"/>
    <w:rsid w:val="67FE9950"/>
    <w:rsid w:val="67FF042A"/>
    <w:rsid w:val="67FF191F"/>
    <w:rsid w:val="67FF279B"/>
    <w:rsid w:val="67FFE00C"/>
    <w:rsid w:val="68AB6100"/>
    <w:rsid w:val="68BF7C29"/>
    <w:rsid w:val="68CA2609"/>
    <w:rsid w:val="68CC1AED"/>
    <w:rsid w:val="693EB8BF"/>
    <w:rsid w:val="695A758B"/>
    <w:rsid w:val="69693DC0"/>
    <w:rsid w:val="696EDA75"/>
    <w:rsid w:val="69B9B98B"/>
    <w:rsid w:val="69BB0F42"/>
    <w:rsid w:val="69BF0CFB"/>
    <w:rsid w:val="69DB5BB3"/>
    <w:rsid w:val="69DDA74F"/>
    <w:rsid w:val="69E13B65"/>
    <w:rsid w:val="69E4E448"/>
    <w:rsid w:val="69FB6A69"/>
    <w:rsid w:val="69FDD2CF"/>
    <w:rsid w:val="69FF15BD"/>
    <w:rsid w:val="69FF6E67"/>
    <w:rsid w:val="6A397CFF"/>
    <w:rsid w:val="6A637494"/>
    <w:rsid w:val="6A673607"/>
    <w:rsid w:val="6A7B99D4"/>
    <w:rsid w:val="6A7F8EEF"/>
    <w:rsid w:val="6ADB8D2B"/>
    <w:rsid w:val="6AE5E930"/>
    <w:rsid w:val="6AEF1A04"/>
    <w:rsid w:val="6AF5FD62"/>
    <w:rsid w:val="6AFF88F4"/>
    <w:rsid w:val="6B371D8C"/>
    <w:rsid w:val="6B5E039D"/>
    <w:rsid w:val="6B7B4857"/>
    <w:rsid w:val="6B7E7FB0"/>
    <w:rsid w:val="6B7F749A"/>
    <w:rsid w:val="6B851D15"/>
    <w:rsid w:val="6B987571"/>
    <w:rsid w:val="6BAB45A9"/>
    <w:rsid w:val="6BAD16AF"/>
    <w:rsid w:val="6BAD817D"/>
    <w:rsid w:val="6BB52DF8"/>
    <w:rsid w:val="6BB64725"/>
    <w:rsid w:val="6BBA8C97"/>
    <w:rsid w:val="6BBB91A7"/>
    <w:rsid w:val="6BBDC3D7"/>
    <w:rsid w:val="6BBEE764"/>
    <w:rsid w:val="6BBFCE54"/>
    <w:rsid w:val="6BCECAF3"/>
    <w:rsid w:val="6BCF62E6"/>
    <w:rsid w:val="6BCFFE34"/>
    <w:rsid w:val="6BD70B4D"/>
    <w:rsid w:val="6BD81E1D"/>
    <w:rsid w:val="6BD922D3"/>
    <w:rsid w:val="6BDFDBCC"/>
    <w:rsid w:val="6BED9D39"/>
    <w:rsid w:val="6BEEB5C2"/>
    <w:rsid w:val="6BF094C2"/>
    <w:rsid w:val="6BF8907A"/>
    <w:rsid w:val="6BFA7DC8"/>
    <w:rsid w:val="6BFB772A"/>
    <w:rsid w:val="6BFD8A8A"/>
    <w:rsid w:val="6BFDBD69"/>
    <w:rsid w:val="6BFE0A29"/>
    <w:rsid w:val="6BFEB954"/>
    <w:rsid w:val="6BFF7BAC"/>
    <w:rsid w:val="6C7A292F"/>
    <w:rsid w:val="6C7A4AA8"/>
    <w:rsid w:val="6C7F0FC4"/>
    <w:rsid w:val="6C7FD2FA"/>
    <w:rsid w:val="6C86893A"/>
    <w:rsid w:val="6C97F019"/>
    <w:rsid w:val="6CBB73C3"/>
    <w:rsid w:val="6CBFDAAB"/>
    <w:rsid w:val="6CD3A16D"/>
    <w:rsid w:val="6CDE8C8C"/>
    <w:rsid w:val="6CE687BC"/>
    <w:rsid w:val="6CED686F"/>
    <w:rsid w:val="6CEF7905"/>
    <w:rsid w:val="6CFB6602"/>
    <w:rsid w:val="6CFD7744"/>
    <w:rsid w:val="6CFFA3EA"/>
    <w:rsid w:val="6CFFAC32"/>
    <w:rsid w:val="6D36697E"/>
    <w:rsid w:val="6D3E05CF"/>
    <w:rsid w:val="6D3EC1A5"/>
    <w:rsid w:val="6D4DC9B7"/>
    <w:rsid w:val="6D535020"/>
    <w:rsid w:val="6D5F1599"/>
    <w:rsid w:val="6D6F6266"/>
    <w:rsid w:val="6D7F15BC"/>
    <w:rsid w:val="6D7F1BD1"/>
    <w:rsid w:val="6D7F5E17"/>
    <w:rsid w:val="6D976678"/>
    <w:rsid w:val="6D9ECAB8"/>
    <w:rsid w:val="6DA30154"/>
    <w:rsid w:val="6DB3C3F8"/>
    <w:rsid w:val="6DBF951C"/>
    <w:rsid w:val="6DEDB358"/>
    <w:rsid w:val="6DF60053"/>
    <w:rsid w:val="6DF779A8"/>
    <w:rsid w:val="6DFBFC16"/>
    <w:rsid w:val="6DFC2D88"/>
    <w:rsid w:val="6DFD4A00"/>
    <w:rsid w:val="6DFDAAC8"/>
    <w:rsid w:val="6DFDD391"/>
    <w:rsid w:val="6DFF1742"/>
    <w:rsid w:val="6DFF2650"/>
    <w:rsid w:val="6DFF5F8A"/>
    <w:rsid w:val="6DFF632A"/>
    <w:rsid w:val="6DFFC031"/>
    <w:rsid w:val="6DFFD8A5"/>
    <w:rsid w:val="6DFFD91D"/>
    <w:rsid w:val="6E0F36BF"/>
    <w:rsid w:val="6E216759"/>
    <w:rsid w:val="6E3320B3"/>
    <w:rsid w:val="6E356DA1"/>
    <w:rsid w:val="6E3E2871"/>
    <w:rsid w:val="6E5F49A6"/>
    <w:rsid w:val="6E721EF1"/>
    <w:rsid w:val="6E7FA9E9"/>
    <w:rsid w:val="6E9744BB"/>
    <w:rsid w:val="6EA72B78"/>
    <w:rsid w:val="6EB62872"/>
    <w:rsid w:val="6EB91F7C"/>
    <w:rsid w:val="6EBFC70E"/>
    <w:rsid w:val="6ED7D282"/>
    <w:rsid w:val="6EDBE1F3"/>
    <w:rsid w:val="6EDF1923"/>
    <w:rsid w:val="6EE5D224"/>
    <w:rsid w:val="6EEB5415"/>
    <w:rsid w:val="6EEF032B"/>
    <w:rsid w:val="6EF64BAC"/>
    <w:rsid w:val="6EFA3B6F"/>
    <w:rsid w:val="6EFEEFDA"/>
    <w:rsid w:val="6EFF770E"/>
    <w:rsid w:val="6EFF9BA5"/>
    <w:rsid w:val="6F1354D5"/>
    <w:rsid w:val="6F2F111F"/>
    <w:rsid w:val="6F2F7624"/>
    <w:rsid w:val="6F3761E2"/>
    <w:rsid w:val="6F3E1C74"/>
    <w:rsid w:val="6F3FD7E1"/>
    <w:rsid w:val="6F49EA54"/>
    <w:rsid w:val="6F528751"/>
    <w:rsid w:val="6F566CE9"/>
    <w:rsid w:val="6F5A234A"/>
    <w:rsid w:val="6F6B7457"/>
    <w:rsid w:val="6F6F0938"/>
    <w:rsid w:val="6F70ECDA"/>
    <w:rsid w:val="6F7410E2"/>
    <w:rsid w:val="6F744783"/>
    <w:rsid w:val="6F759FFE"/>
    <w:rsid w:val="6F78A8DF"/>
    <w:rsid w:val="6F7D78EA"/>
    <w:rsid w:val="6F7DF6E5"/>
    <w:rsid w:val="6F7F14ED"/>
    <w:rsid w:val="6F7F3D7D"/>
    <w:rsid w:val="6F7F95AB"/>
    <w:rsid w:val="6F7F9DAB"/>
    <w:rsid w:val="6F7FCA43"/>
    <w:rsid w:val="6F87D07B"/>
    <w:rsid w:val="6F8FC754"/>
    <w:rsid w:val="6F9FA206"/>
    <w:rsid w:val="6FABFDF3"/>
    <w:rsid w:val="6FB405B7"/>
    <w:rsid w:val="6FB679D3"/>
    <w:rsid w:val="6FBA0F3D"/>
    <w:rsid w:val="6FBCB24F"/>
    <w:rsid w:val="6FBDC7D8"/>
    <w:rsid w:val="6FBF2A6B"/>
    <w:rsid w:val="6FBFB53F"/>
    <w:rsid w:val="6FBFBE3C"/>
    <w:rsid w:val="6FBFCF8C"/>
    <w:rsid w:val="6FBFD029"/>
    <w:rsid w:val="6FBFEDF4"/>
    <w:rsid w:val="6FC65551"/>
    <w:rsid w:val="6FC7C1DA"/>
    <w:rsid w:val="6FD5C8CD"/>
    <w:rsid w:val="6FD7E80B"/>
    <w:rsid w:val="6FDB738A"/>
    <w:rsid w:val="6FDBA191"/>
    <w:rsid w:val="6FDDD41B"/>
    <w:rsid w:val="6FDE63EC"/>
    <w:rsid w:val="6FDF60A6"/>
    <w:rsid w:val="6FEAF71F"/>
    <w:rsid w:val="6FED7323"/>
    <w:rsid w:val="6FEDC679"/>
    <w:rsid w:val="6FEF8912"/>
    <w:rsid w:val="6FF54FC8"/>
    <w:rsid w:val="6FF55CF2"/>
    <w:rsid w:val="6FF5DE10"/>
    <w:rsid w:val="6FF6800B"/>
    <w:rsid w:val="6FF6B7E4"/>
    <w:rsid w:val="6FF6D9D1"/>
    <w:rsid w:val="6FF6EA67"/>
    <w:rsid w:val="6FF73FDE"/>
    <w:rsid w:val="6FF9C91B"/>
    <w:rsid w:val="6FFB1525"/>
    <w:rsid w:val="6FFB1FE6"/>
    <w:rsid w:val="6FFBC332"/>
    <w:rsid w:val="6FFBD6B5"/>
    <w:rsid w:val="6FFBDE2D"/>
    <w:rsid w:val="6FFBE532"/>
    <w:rsid w:val="6FFCCA6B"/>
    <w:rsid w:val="6FFD63E7"/>
    <w:rsid w:val="6FFDA3EC"/>
    <w:rsid w:val="6FFE185B"/>
    <w:rsid w:val="6FFE70D3"/>
    <w:rsid w:val="6FFEABE4"/>
    <w:rsid w:val="6FFF3084"/>
    <w:rsid w:val="6FFF37D2"/>
    <w:rsid w:val="6FFF5601"/>
    <w:rsid w:val="6FFF582E"/>
    <w:rsid w:val="6FFF5BD2"/>
    <w:rsid w:val="6FFF76F9"/>
    <w:rsid w:val="6FFF792C"/>
    <w:rsid w:val="6FFF853D"/>
    <w:rsid w:val="6FFFA1EA"/>
    <w:rsid w:val="6FFFFC80"/>
    <w:rsid w:val="7003082B"/>
    <w:rsid w:val="70DE2EF1"/>
    <w:rsid w:val="70F82453"/>
    <w:rsid w:val="70F97043"/>
    <w:rsid w:val="7153605B"/>
    <w:rsid w:val="7174603C"/>
    <w:rsid w:val="71771717"/>
    <w:rsid w:val="719E2581"/>
    <w:rsid w:val="71C7A62F"/>
    <w:rsid w:val="71D2AE03"/>
    <w:rsid w:val="71DD6A4E"/>
    <w:rsid w:val="71EF1AC7"/>
    <w:rsid w:val="71EF9D2E"/>
    <w:rsid w:val="71FED1B3"/>
    <w:rsid w:val="71FEFFF2"/>
    <w:rsid w:val="7224C359"/>
    <w:rsid w:val="722F2930"/>
    <w:rsid w:val="726F191E"/>
    <w:rsid w:val="727FBF5F"/>
    <w:rsid w:val="72B5B4A2"/>
    <w:rsid w:val="72DF1CE2"/>
    <w:rsid w:val="72E624D8"/>
    <w:rsid w:val="72EFF895"/>
    <w:rsid w:val="72F74E5F"/>
    <w:rsid w:val="72FBD603"/>
    <w:rsid w:val="72FD944B"/>
    <w:rsid w:val="72FDBF05"/>
    <w:rsid w:val="72FE21E5"/>
    <w:rsid w:val="7319BF31"/>
    <w:rsid w:val="73411698"/>
    <w:rsid w:val="736E3402"/>
    <w:rsid w:val="73751175"/>
    <w:rsid w:val="73771E0E"/>
    <w:rsid w:val="737DAEED"/>
    <w:rsid w:val="737F33E6"/>
    <w:rsid w:val="737F5345"/>
    <w:rsid w:val="737F5507"/>
    <w:rsid w:val="739F73B0"/>
    <w:rsid w:val="73A74BD3"/>
    <w:rsid w:val="73AB2D56"/>
    <w:rsid w:val="73B4819B"/>
    <w:rsid w:val="73B95551"/>
    <w:rsid w:val="73BF3D35"/>
    <w:rsid w:val="73BF9EAD"/>
    <w:rsid w:val="73CF0571"/>
    <w:rsid w:val="73DD173A"/>
    <w:rsid w:val="73DF2402"/>
    <w:rsid w:val="73E6D801"/>
    <w:rsid w:val="73E78581"/>
    <w:rsid w:val="73E9FE0E"/>
    <w:rsid w:val="73EE752E"/>
    <w:rsid w:val="73EF9EBA"/>
    <w:rsid w:val="73EFA240"/>
    <w:rsid w:val="73F31061"/>
    <w:rsid w:val="73F55F86"/>
    <w:rsid w:val="73FB1831"/>
    <w:rsid w:val="73FB1D69"/>
    <w:rsid w:val="73FB534A"/>
    <w:rsid w:val="73FB6B81"/>
    <w:rsid w:val="73FF103A"/>
    <w:rsid w:val="73FF3896"/>
    <w:rsid w:val="73FF72E5"/>
    <w:rsid w:val="73FF8F00"/>
    <w:rsid w:val="73FFB28D"/>
    <w:rsid w:val="745E5FF9"/>
    <w:rsid w:val="747F14BB"/>
    <w:rsid w:val="749B9E53"/>
    <w:rsid w:val="74EF953A"/>
    <w:rsid w:val="74EF9DBE"/>
    <w:rsid w:val="74EFD67B"/>
    <w:rsid w:val="74F17750"/>
    <w:rsid w:val="74FE257A"/>
    <w:rsid w:val="74FF4DB7"/>
    <w:rsid w:val="74FFA55B"/>
    <w:rsid w:val="752D31EE"/>
    <w:rsid w:val="754F0AAD"/>
    <w:rsid w:val="755E74E4"/>
    <w:rsid w:val="756F7638"/>
    <w:rsid w:val="756FC8DD"/>
    <w:rsid w:val="756FDE8A"/>
    <w:rsid w:val="75976AF9"/>
    <w:rsid w:val="75AF497A"/>
    <w:rsid w:val="75AFDE01"/>
    <w:rsid w:val="75B7D357"/>
    <w:rsid w:val="75BA9C62"/>
    <w:rsid w:val="75BAF864"/>
    <w:rsid w:val="75BF0BDB"/>
    <w:rsid w:val="75BFCF86"/>
    <w:rsid w:val="75C7E2BF"/>
    <w:rsid w:val="75DD0082"/>
    <w:rsid w:val="75DD1084"/>
    <w:rsid w:val="75DF241F"/>
    <w:rsid w:val="75DF2BD2"/>
    <w:rsid w:val="75DFFDF2"/>
    <w:rsid w:val="75EF764E"/>
    <w:rsid w:val="75F2BFCA"/>
    <w:rsid w:val="75F52AD5"/>
    <w:rsid w:val="75F79C4C"/>
    <w:rsid w:val="75FBD57A"/>
    <w:rsid w:val="75FD161F"/>
    <w:rsid w:val="75FD4160"/>
    <w:rsid w:val="75FDBE92"/>
    <w:rsid w:val="75FF09E6"/>
    <w:rsid w:val="75FFF776"/>
    <w:rsid w:val="76468612"/>
    <w:rsid w:val="766BCEBE"/>
    <w:rsid w:val="766F0163"/>
    <w:rsid w:val="766F1059"/>
    <w:rsid w:val="76752260"/>
    <w:rsid w:val="7677B441"/>
    <w:rsid w:val="767C244D"/>
    <w:rsid w:val="767FE199"/>
    <w:rsid w:val="76827588"/>
    <w:rsid w:val="76A50816"/>
    <w:rsid w:val="76B2DBD4"/>
    <w:rsid w:val="76BE8034"/>
    <w:rsid w:val="76BF0A0B"/>
    <w:rsid w:val="76BF3D81"/>
    <w:rsid w:val="76D700C6"/>
    <w:rsid w:val="76D90CF2"/>
    <w:rsid w:val="76DC30DD"/>
    <w:rsid w:val="76E98A13"/>
    <w:rsid w:val="76EAF90B"/>
    <w:rsid w:val="76EF07E1"/>
    <w:rsid w:val="76EF3656"/>
    <w:rsid w:val="76F24C03"/>
    <w:rsid w:val="76F68159"/>
    <w:rsid w:val="76F687DF"/>
    <w:rsid w:val="76F77290"/>
    <w:rsid w:val="76FD6CE4"/>
    <w:rsid w:val="76FE76FD"/>
    <w:rsid w:val="76FF0F77"/>
    <w:rsid w:val="76FFA191"/>
    <w:rsid w:val="770DE095"/>
    <w:rsid w:val="771A57CF"/>
    <w:rsid w:val="7737C937"/>
    <w:rsid w:val="773F68DC"/>
    <w:rsid w:val="773FCDD1"/>
    <w:rsid w:val="7746019B"/>
    <w:rsid w:val="774F2F0D"/>
    <w:rsid w:val="774FF484"/>
    <w:rsid w:val="7751EAD1"/>
    <w:rsid w:val="775BEC1D"/>
    <w:rsid w:val="775DF0F8"/>
    <w:rsid w:val="775F1096"/>
    <w:rsid w:val="7767307D"/>
    <w:rsid w:val="7768BF1E"/>
    <w:rsid w:val="776D55C2"/>
    <w:rsid w:val="776D75F6"/>
    <w:rsid w:val="776E1F5A"/>
    <w:rsid w:val="776F209E"/>
    <w:rsid w:val="776F49DD"/>
    <w:rsid w:val="77742925"/>
    <w:rsid w:val="777966E4"/>
    <w:rsid w:val="777A3F1B"/>
    <w:rsid w:val="777B5071"/>
    <w:rsid w:val="777C438E"/>
    <w:rsid w:val="777C6054"/>
    <w:rsid w:val="777C6A0B"/>
    <w:rsid w:val="777C9334"/>
    <w:rsid w:val="777CF67B"/>
    <w:rsid w:val="777FA0A0"/>
    <w:rsid w:val="777FC134"/>
    <w:rsid w:val="777FC59B"/>
    <w:rsid w:val="777FE38C"/>
    <w:rsid w:val="778BC62F"/>
    <w:rsid w:val="778F5C5A"/>
    <w:rsid w:val="779D6EE1"/>
    <w:rsid w:val="779F3B84"/>
    <w:rsid w:val="77ACC81E"/>
    <w:rsid w:val="77ADFCA7"/>
    <w:rsid w:val="77BECF5F"/>
    <w:rsid w:val="77BF685B"/>
    <w:rsid w:val="77D368E8"/>
    <w:rsid w:val="77D6BACE"/>
    <w:rsid w:val="77D76974"/>
    <w:rsid w:val="77DA117C"/>
    <w:rsid w:val="77DD2B04"/>
    <w:rsid w:val="77DD2C5B"/>
    <w:rsid w:val="77DE5239"/>
    <w:rsid w:val="77DF6AAF"/>
    <w:rsid w:val="77E321A9"/>
    <w:rsid w:val="77E65F72"/>
    <w:rsid w:val="77E7589A"/>
    <w:rsid w:val="77E7D475"/>
    <w:rsid w:val="77E948FE"/>
    <w:rsid w:val="77EC2C9D"/>
    <w:rsid w:val="77ED577E"/>
    <w:rsid w:val="77EDAA0D"/>
    <w:rsid w:val="77F27F8A"/>
    <w:rsid w:val="77F3249F"/>
    <w:rsid w:val="77F46C5D"/>
    <w:rsid w:val="77F6B2DD"/>
    <w:rsid w:val="77F7533E"/>
    <w:rsid w:val="77F7D579"/>
    <w:rsid w:val="77F92F5C"/>
    <w:rsid w:val="77FA8054"/>
    <w:rsid w:val="77FABBE3"/>
    <w:rsid w:val="77FAE085"/>
    <w:rsid w:val="77FAFA7E"/>
    <w:rsid w:val="77FB9716"/>
    <w:rsid w:val="77FCA3C5"/>
    <w:rsid w:val="77FD3B60"/>
    <w:rsid w:val="77FDDE1D"/>
    <w:rsid w:val="77FE36A3"/>
    <w:rsid w:val="77FEEC5A"/>
    <w:rsid w:val="77FF1206"/>
    <w:rsid w:val="77FF1E93"/>
    <w:rsid w:val="77FF51F0"/>
    <w:rsid w:val="77FF5260"/>
    <w:rsid w:val="77FFDE8E"/>
    <w:rsid w:val="77FFFD76"/>
    <w:rsid w:val="783FF1B3"/>
    <w:rsid w:val="786B413A"/>
    <w:rsid w:val="786FCE31"/>
    <w:rsid w:val="787F9579"/>
    <w:rsid w:val="78BE5AEC"/>
    <w:rsid w:val="78C35EC4"/>
    <w:rsid w:val="78D57A9E"/>
    <w:rsid w:val="78DE229C"/>
    <w:rsid w:val="78FAEA06"/>
    <w:rsid w:val="790B1DC4"/>
    <w:rsid w:val="79334FFB"/>
    <w:rsid w:val="794F769C"/>
    <w:rsid w:val="794F7D6B"/>
    <w:rsid w:val="796C884F"/>
    <w:rsid w:val="797B4203"/>
    <w:rsid w:val="797C9125"/>
    <w:rsid w:val="797F4567"/>
    <w:rsid w:val="797FF055"/>
    <w:rsid w:val="797FF1FA"/>
    <w:rsid w:val="798D3A0E"/>
    <w:rsid w:val="79AF0E97"/>
    <w:rsid w:val="79B7D6FF"/>
    <w:rsid w:val="79BF0667"/>
    <w:rsid w:val="79BF3C13"/>
    <w:rsid w:val="79BF5450"/>
    <w:rsid w:val="79C90CFC"/>
    <w:rsid w:val="79CF6234"/>
    <w:rsid w:val="79D70343"/>
    <w:rsid w:val="79DB4D65"/>
    <w:rsid w:val="79DEEBDE"/>
    <w:rsid w:val="79E47FA6"/>
    <w:rsid w:val="79E75B1A"/>
    <w:rsid w:val="79F39373"/>
    <w:rsid w:val="79F629B1"/>
    <w:rsid w:val="79FACFBC"/>
    <w:rsid w:val="79FB56BB"/>
    <w:rsid w:val="79FB6B5C"/>
    <w:rsid w:val="79FB7AE7"/>
    <w:rsid w:val="79FD3525"/>
    <w:rsid w:val="79FDEF40"/>
    <w:rsid w:val="79FFE5C2"/>
    <w:rsid w:val="7A1E7D90"/>
    <w:rsid w:val="7A383C0F"/>
    <w:rsid w:val="7A3DCD7A"/>
    <w:rsid w:val="7A5B60C4"/>
    <w:rsid w:val="7A5F8FB3"/>
    <w:rsid w:val="7A5FE551"/>
    <w:rsid w:val="7A7D1776"/>
    <w:rsid w:val="7A9F6950"/>
    <w:rsid w:val="7AAE1405"/>
    <w:rsid w:val="7ABB56B8"/>
    <w:rsid w:val="7ABF64CA"/>
    <w:rsid w:val="7ABFBD98"/>
    <w:rsid w:val="7ABFC8F7"/>
    <w:rsid w:val="7AC7DFC2"/>
    <w:rsid w:val="7ADA1693"/>
    <w:rsid w:val="7ADBF62D"/>
    <w:rsid w:val="7ADFECF3"/>
    <w:rsid w:val="7AE6A962"/>
    <w:rsid w:val="7AEF3BB1"/>
    <w:rsid w:val="7AF27B74"/>
    <w:rsid w:val="7AF74464"/>
    <w:rsid w:val="7AF8DC83"/>
    <w:rsid w:val="7AFB52FF"/>
    <w:rsid w:val="7AFF917F"/>
    <w:rsid w:val="7AFF98A8"/>
    <w:rsid w:val="7B1DE67A"/>
    <w:rsid w:val="7B2D3E23"/>
    <w:rsid w:val="7B37AE2E"/>
    <w:rsid w:val="7B57C3D3"/>
    <w:rsid w:val="7B5E91F8"/>
    <w:rsid w:val="7B5F8357"/>
    <w:rsid w:val="7B67CE65"/>
    <w:rsid w:val="7B6E3BE9"/>
    <w:rsid w:val="7B740624"/>
    <w:rsid w:val="7B770D93"/>
    <w:rsid w:val="7B77459C"/>
    <w:rsid w:val="7B775531"/>
    <w:rsid w:val="7B7B1D10"/>
    <w:rsid w:val="7B7C414A"/>
    <w:rsid w:val="7B7DDDB7"/>
    <w:rsid w:val="7B7F10C1"/>
    <w:rsid w:val="7B7F5472"/>
    <w:rsid w:val="7B7F5C15"/>
    <w:rsid w:val="7B7F8862"/>
    <w:rsid w:val="7B7F9BDA"/>
    <w:rsid w:val="7B8BC3C0"/>
    <w:rsid w:val="7B93474D"/>
    <w:rsid w:val="7B96C763"/>
    <w:rsid w:val="7B99E39F"/>
    <w:rsid w:val="7B9E3835"/>
    <w:rsid w:val="7B9F0864"/>
    <w:rsid w:val="7B9FA068"/>
    <w:rsid w:val="7BAF00DB"/>
    <w:rsid w:val="7BAF2768"/>
    <w:rsid w:val="7BB9EDCA"/>
    <w:rsid w:val="7BBB1AAC"/>
    <w:rsid w:val="7BC63A12"/>
    <w:rsid w:val="7BCE7196"/>
    <w:rsid w:val="7BDDC959"/>
    <w:rsid w:val="7BDEBF13"/>
    <w:rsid w:val="7BDF2707"/>
    <w:rsid w:val="7BDFAFCF"/>
    <w:rsid w:val="7BE60FC8"/>
    <w:rsid w:val="7BE6B200"/>
    <w:rsid w:val="7BE7220E"/>
    <w:rsid w:val="7BEAE444"/>
    <w:rsid w:val="7BEBD52C"/>
    <w:rsid w:val="7BEF4F36"/>
    <w:rsid w:val="7BEF7729"/>
    <w:rsid w:val="7BEFDEE0"/>
    <w:rsid w:val="7BEFE932"/>
    <w:rsid w:val="7BF328CE"/>
    <w:rsid w:val="7BF37C8A"/>
    <w:rsid w:val="7BF47F47"/>
    <w:rsid w:val="7BF64103"/>
    <w:rsid w:val="7BF70283"/>
    <w:rsid w:val="7BF75B1A"/>
    <w:rsid w:val="7BF7F5B0"/>
    <w:rsid w:val="7BF900AC"/>
    <w:rsid w:val="7BF99D0E"/>
    <w:rsid w:val="7BFA3D48"/>
    <w:rsid w:val="7BFB483C"/>
    <w:rsid w:val="7BFD06AD"/>
    <w:rsid w:val="7BFDBF8B"/>
    <w:rsid w:val="7BFDE0EA"/>
    <w:rsid w:val="7BFE7E5E"/>
    <w:rsid w:val="7BFEFE70"/>
    <w:rsid w:val="7BFF15D9"/>
    <w:rsid w:val="7BFF1E5B"/>
    <w:rsid w:val="7BFF7324"/>
    <w:rsid w:val="7BFF87F3"/>
    <w:rsid w:val="7BFFA21C"/>
    <w:rsid w:val="7BFFB4F5"/>
    <w:rsid w:val="7BFFBA42"/>
    <w:rsid w:val="7C257C29"/>
    <w:rsid w:val="7C332B33"/>
    <w:rsid w:val="7C3E8613"/>
    <w:rsid w:val="7C5F4108"/>
    <w:rsid w:val="7C5F7507"/>
    <w:rsid w:val="7C6D4D56"/>
    <w:rsid w:val="7C6D76A4"/>
    <w:rsid w:val="7C6DCEAF"/>
    <w:rsid w:val="7C8EE1CF"/>
    <w:rsid w:val="7CAEC0D9"/>
    <w:rsid w:val="7CB379A5"/>
    <w:rsid w:val="7CBB2792"/>
    <w:rsid w:val="7CDDB86A"/>
    <w:rsid w:val="7CEAD99A"/>
    <w:rsid w:val="7CECD1FD"/>
    <w:rsid w:val="7CF607AE"/>
    <w:rsid w:val="7CF75267"/>
    <w:rsid w:val="7CF75AE3"/>
    <w:rsid w:val="7CF94025"/>
    <w:rsid w:val="7CFB9AE9"/>
    <w:rsid w:val="7CFCD775"/>
    <w:rsid w:val="7CFDB2D7"/>
    <w:rsid w:val="7CFF0523"/>
    <w:rsid w:val="7CFF5630"/>
    <w:rsid w:val="7CFF832D"/>
    <w:rsid w:val="7CFFB455"/>
    <w:rsid w:val="7D1E4AD2"/>
    <w:rsid w:val="7D1FAB6C"/>
    <w:rsid w:val="7D33BFE3"/>
    <w:rsid w:val="7D3AD818"/>
    <w:rsid w:val="7D3B559F"/>
    <w:rsid w:val="7D3B5855"/>
    <w:rsid w:val="7D3B89D8"/>
    <w:rsid w:val="7D3E2882"/>
    <w:rsid w:val="7D3F0B6A"/>
    <w:rsid w:val="7D531E51"/>
    <w:rsid w:val="7D5792F2"/>
    <w:rsid w:val="7D5B7F05"/>
    <w:rsid w:val="7D5FAA9C"/>
    <w:rsid w:val="7D5FDAF1"/>
    <w:rsid w:val="7D5FFC1D"/>
    <w:rsid w:val="7D6A4252"/>
    <w:rsid w:val="7D6DA2E5"/>
    <w:rsid w:val="7D6E8502"/>
    <w:rsid w:val="7D777583"/>
    <w:rsid w:val="7D777B8C"/>
    <w:rsid w:val="7D78D6D2"/>
    <w:rsid w:val="7D7903BD"/>
    <w:rsid w:val="7D7B9411"/>
    <w:rsid w:val="7D7BCC1C"/>
    <w:rsid w:val="7D7C8DEF"/>
    <w:rsid w:val="7D7D8352"/>
    <w:rsid w:val="7D7E4E11"/>
    <w:rsid w:val="7D7F0296"/>
    <w:rsid w:val="7D7F1D6F"/>
    <w:rsid w:val="7D7F29BE"/>
    <w:rsid w:val="7D7F4D18"/>
    <w:rsid w:val="7D7FBA1F"/>
    <w:rsid w:val="7D7FE5A3"/>
    <w:rsid w:val="7D7FE76F"/>
    <w:rsid w:val="7D992A4E"/>
    <w:rsid w:val="7D9E9817"/>
    <w:rsid w:val="7D9F5651"/>
    <w:rsid w:val="7D9FA479"/>
    <w:rsid w:val="7D9FA5B5"/>
    <w:rsid w:val="7D9FC54D"/>
    <w:rsid w:val="7DA50646"/>
    <w:rsid w:val="7DAF247C"/>
    <w:rsid w:val="7DAFE245"/>
    <w:rsid w:val="7DB3923A"/>
    <w:rsid w:val="7DBA03CE"/>
    <w:rsid w:val="7DBB6BA5"/>
    <w:rsid w:val="7DBD4B06"/>
    <w:rsid w:val="7DBD9C83"/>
    <w:rsid w:val="7DBEC36C"/>
    <w:rsid w:val="7DBF8230"/>
    <w:rsid w:val="7DC75450"/>
    <w:rsid w:val="7DCBD2EF"/>
    <w:rsid w:val="7DCECDC9"/>
    <w:rsid w:val="7DD50B01"/>
    <w:rsid w:val="7DD96871"/>
    <w:rsid w:val="7DD9F0AA"/>
    <w:rsid w:val="7DDDD43E"/>
    <w:rsid w:val="7DDEDCE9"/>
    <w:rsid w:val="7DDF318D"/>
    <w:rsid w:val="7DDF6485"/>
    <w:rsid w:val="7DDF70F3"/>
    <w:rsid w:val="7DDF8860"/>
    <w:rsid w:val="7DE55D50"/>
    <w:rsid w:val="7DEBB423"/>
    <w:rsid w:val="7DEBE584"/>
    <w:rsid w:val="7DED2B47"/>
    <w:rsid w:val="7DED4A9F"/>
    <w:rsid w:val="7DEDEC77"/>
    <w:rsid w:val="7DEEE1A6"/>
    <w:rsid w:val="7DF51EBA"/>
    <w:rsid w:val="7DF5249F"/>
    <w:rsid w:val="7DF57017"/>
    <w:rsid w:val="7DF5D5A8"/>
    <w:rsid w:val="7DF74984"/>
    <w:rsid w:val="7DF775F8"/>
    <w:rsid w:val="7DF7DF7C"/>
    <w:rsid w:val="7DF7E2C5"/>
    <w:rsid w:val="7DF7F21D"/>
    <w:rsid w:val="7DF90AF9"/>
    <w:rsid w:val="7DFB1244"/>
    <w:rsid w:val="7DFB13D2"/>
    <w:rsid w:val="7DFD679C"/>
    <w:rsid w:val="7DFDBAD6"/>
    <w:rsid w:val="7DFEDB15"/>
    <w:rsid w:val="7DFF10EE"/>
    <w:rsid w:val="7DFF3874"/>
    <w:rsid w:val="7DFF5297"/>
    <w:rsid w:val="7DFF54A5"/>
    <w:rsid w:val="7DFF6C11"/>
    <w:rsid w:val="7DFF746E"/>
    <w:rsid w:val="7DFF880A"/>
    <w:rsid w:val="7E07102A"/>
    <w:rsid w:val="7E0725FE"/>
    <w:rsid w:val="7E1F8A2A"/>
    <w:rsid w:val="7E1F983F"/>
    <w:rsid w:val="7E2E2DA3"/>
    <w:rsid w:val="7E350901"/>
    <w:rsid w:val="7E3ADFF0"/>
    <w:rsid w:val="7E3D46C8"/>
    <w:rsid w:val="7E5214C3"/>
    <w:rsid w:val="7E5BDE60"/>
    <w:rsid w:val="7E6D5250"/>
    <w:rsid w:val="7E6F693D"/>
    <w:rsid w:val="7E725D19"/>
    <w:rsid w:val="7E74AA4F"/>
    <w:rsid w:val="7E773936"/>
    <w:rsid w:val="7E7C4436"/>
    <w:rsid w:val="7E7DC534"/>
    <w:rsid w:val="7E7F7CB4"/>
    <w:rsid w:val="7E996400"/>
    <w:rsid w:val="7E9E5517"/>
    <w:rsid w:val="7E9F785C"/>
    <w:rsid w:val="7E9FF696"/>
    <w:rsid w:val="7EAB2455"/>
    <w:rsid w:val="7EAEA815"/>
    <w:rsid w:val="7EAF41D2"/>
    <w:rsid w:val="7EB27778"/>
    <w:rsid w:val="7EB3C1EB"/>
    <w:rsid w:val="7EB6C15F"/>
    <w:rsid w:val="7EB77F21"/>
    <w:rsid w:val="7EB9053D"/>
    <w:rsid w:val="7EB9ED9B"/>
    <w:rsid w:val="7EBBA8D6"/>
    <w:rsid w:val="7EBD52ED"/>
    <w:rsid w:val="7EBDAA42"/>
    <w:rsid w:val="7EBF1807"/>
    <w:rsid w:val="7EBF5AB2"/>
    <w:rsid w:val="7EC9F703"/>
    <w:rsid w:val="7ECAEA4C"/>
    <w:rsid w:val="7ECF1F03"/>
    <w:rsid w:val="7ED5DF64"/>
    <w:rsid w:val="7ED618D5"/>
    <w:rsid w:val="7ED7FD2B"/>
    <w:rsid w:val="7EDC95FD"/>
    <w:rsid w:val="7EDDD2EF"/>
    <w:rsid w:val="7EDDDE11"/>
    <w:rsid w:val="7EDEA9AB"/>
    <w:rsid w:val="7EDF497B"/>
    <w:rsid w:val="7EEBA715"/>
    <w:rsid w:val="7EEE6971"/>
    <w:rsid w:val="7EEF244C"/>
    <w:rsid w:val="7EEF2EB1"/>
    <w:rsid w:val="7EEF3C5D"/>
    <w:rsid w:val="7EF1B63F"/>
    <w:rsid w:val="7EF54759"/>
    <w:rsid w:val="7EF6ACFD"/>
    <w:rsid w:val="7EF6E95B"/>
    <w:rsid w:val="7EF71F04"/>
    <w:rsid w:val="7EF73763"/>
    <w:rsid w:val="7EF780D9"/>
    <w:rsid w:val="7EF78404"/>
    <w:rsid w:val="7EFA01C0"/>
    <w:rsid w:val="7EFB0001"/>
    <w:rsid w:val="7EFDCE02"/>
    <w:rsid w:val="7EFE2957"/>
    <w:rsid w:val="7EFE40C9"/>
    <w:rsid w:val="7EFE9527"/>
    <w:rsid w:val="7EFE99F4"/>
    <w:rsid w:val="7EFEBB5A"/>
    <w:rsid w:val="7EFF6F87"/>
    <w:rsid w:val="7EFFA2BE"/>
    <w:rsid w:val="7EFFB6DD"/>
    <w:rsid w:val="7EFFCE7B"/>
    <w:rsid w:val="7EFFF9A0"/>
    <w:rsid w:val="7EFFFB91"/>
    <w:rsid w:val="7F0FF020"/>
    <w:rsid w:val="7F1F1B12"/>
    <w:rsid w:val="7F1F3962"/>
    <w:rsid w:val="7F2A9D17"/>
    <w:rsid w:val="7F2D3148"/>
    <w:rsid w:val="7F37DC26"/>
    <w:rsid w:val="7F38437A"/>
    <w:rsid w:val="7F3B8927"/>
    <w:rsid w:val="7F3BBC87"/>
    <w:rsid w:val="7F3D5C40"/>
    <w:rsid w:val="7F3E72B7"/>
    <w:rsid w:val="7F3F1FAB"/>
    <w:rsid w:val="7F3FC2F7"/>
    <w:rsid w:val="7F3FDA1B"/>
    <w:rsid w:val="7F4B8A09"/>
    <w:rsid w:val="7F4BA786"/>
    <w:rsid w:val="7F4BCF7E"/>
    <w:rsid w:val="7F4E43DF"/>
    <w:rsid w:val="7F4E9816"/>
    <w:rsid w:val="7F4EF961"/>
    <w:rsid w:val="7F4F482B"/>
    <w:rsid w:val="7F4FDB30"/>
    <w:rsid w:val="7F513754"/>
    <w:rsid w:val="7F53722F"/>
    <w:rsid w:val="7F57F36F"/>
    <w:rsid w:val="7F5B82AD"/>
    <w:rsid w:val="7F5FABD8"/>
    <w:rsid w:val="7F5FD579"/>
    <w:rsid w:val="7F63B1C6"/>
    <w:rsid w:val="7F64DA0B"/>
    <w:rsid w:val="7F679396"/>
    <w:rsid w:val="7F690170"/>
    <w:rsid w:val="7F6F8CCB"/>
    <w:rsid w:val="7F7228E1"/>
    <w:rsid w:val="7F725DE0"/>
    <w:rsid w:val="7F748781"/>
    <w:rsid w:val="7F754C2D"/>
    <w:rsid w:val="7F75D2A5"/>
    <w:rsid w:val="7F772D0B"/>
    <w:rsid w:val="7F77A841"/>
    <w:rsid w:val="7F77CD21"/>
    <w:rsid w:val="7F77E99D"/>
    <w:rsid w:val="7F79C282"/>
    <w:rsid w:val="7F7A67CF"/>
    <w:rsid w:val="7F7AA1A8"/>
    <w:rsid w:val="7F7B3F2B"/>
    <w:rsid w:val="7F7B6CAE"/>
    <w:rsid w:val="7F7B8FAC"/>
    <w:rsid w:val="7F7B90CF"/>
    <w:rsid w:val="7F7BF984"/>
    <w:rsid w:val="7F7D5647"/>
    <w:rsid w:val="7F7D6B06"/>
    <w:rsid w:val="7F7DAC43"/>
    <w:rsid w:val="7F7DF576"/>
    <w:rsid w:val="7F7E553E"/>
    <w:rsid w:val="7F7E555D"/>
    <w:rsid w:val="7F7E835C"/>
    <w:rsid w:val="7F7E83BE"/>
    <w:rsid w:val="7F7EA0AF"/>
    <w:rsid w:val="7F7EC5CD"/>
    <w:rsid w:val="7F7EED51"/>
    <w:rsid w:val="7F7F0DA7"/>
    <w:rsid w:val="7F7FDF64"/>
    <w:rsid w:val="7F7FE8EC"/>
    <w:rsid w:val="7F7FF349"/>
    <w:rsid w:val="7F7FFB8F"/>
    <w:rsid w:val="7F8D5C7E"/>
    <w:rsid w:val="7F93C8F1"/>
    <w:rsid w:val="7F970E3E"/>
    <w:rsid w:val="7F971DE2"/>
    <w:rsid w:val="7F979021"/>
    <w:rsid w:val="7F99A7C3"/>
    <w:rsid w:val="7F9B71C2"/>
    <w:rsid w:val="7F9D8F52"/>
    <w:rsid w:val="7F9DD661"/>
    <w:rsid w:val="7F9EE634"/>
    <w:rsid w:val="7F9F8FD2"/>
    <w:rsid w:val="7F9FFC97"/>
    <w:rsid w:val="7FA048EE"/>
    <w:rsid w:val="7FA733A4"/>
    <w:rsid w:val="7FAC631D"/>
    <w:rsid w:val="7FADA666"/>
    <w:rsid w:val="7FAEC98D"/>
    <w:rsid w:val="7FAEFDD7"/>
    <w:rsid w:val="7FAF4A6E"/>
    <w:rsid w:val="7FAF7AB5"/>
    <w:rsid w:val="7FAFC196"/>
    <w:rsid w:val="7FB502A3"/>
    <w:rsid w:val="7FB51A5E"/>
    <w:rsid w:val="7FB7B0E8"/>
    <w:rsid w:val="7FB7B386"/>
    <w:rsid w:val="7FB7CDCC"/>
    <w:rsid w:val="7FB93FAB"/>
    <w:rsid w:val="7FB9919A"/>
    <w:rsid w:val="7FBA9761"/>
    <w:rsid w:val="7FBB3477"/>
    <w:rsid w:val="7FBBC0A4"/>
    <w:rsid w:val="7FBBCC65"/>
    <w:rsid w:val="7FBD2BBF"/>
    <w:rsid w:val="7FBD6F36"/>
    <w:rsid w:val="7FBD876C"/>
    <w:rsid w:val="7FBEB496"/>
    <w:rsid w:val="7FBF18AE"/>
    <w:rsid w:val="7FBF5EBD"/>
    <w:rsid w:val="7FBF629E"/>
    <w:rsid w:val="7FBF6A3B"/>
    <w:rsid w:val="7FBF6DD0"/>
    <w:rsid w:val="7FBF7628"/>
    <w:rsid w:val="7FBFCD30"/>
    <w:rsid w:val="7FBFDE09"/>
    <w:rsid w:val="7FBFEF66"/>
    <w:rsid w:val="7FBFFF17"/>
    <w:rsid w:val="7FC3D9AD"/>
    <w:rsid w:val="7FC54B33"/>
    <w:rsid w:val="7FCB306C"/>
    <w:rsid w:val="7FCB523A"/>
    <w:rsid w:val="7FCCC303"/>
    <w:rsid w:val="7FCD17FE"/>
    <w:rsid w:val="7FCDAA5B"/>
    <w:rsid w:val="7FCE7C46"/>
    <w:rsid w:val="7FCF8B5C"/>
    <w:rsid w:val="7FD1FE4D"/>
    <w:rsid w:val="7FD57023"/>
    <w:rsid w:val="7FD5B2D6"/>
    <w:rsid w:val="7FD7E9A0"/>
    <w:rsid w:val="7FDA7122"/>
    <w:rsid w:val="7FDAAD9C"/>
    <w:rsid w:val="7FDAB123"/>
    <w:rsid w:val="7FDAB9E3"/>
    <w:rsid w:val="7FDAEE4A"/>
    <w:rsid w:val="7FDB4A3D"/>
    <w:rsid w:val="7FDB551B"/>
    <w:rsid w:val="7FDB92F6"/>
    <w:rsid w:val="7FDBCB80"/>
    <w:rsid w:val="7FDBF179"/>
    <w:rsid w:val="7FDBF9DC"/>
    <w:rsid w:val="7FDC33DE"/>
    <w:rsid w:val="7FDD307D"/>
    <w:rsid w:val="7FDD6316"/>
    <w:rsid w:val="7FDDBD16"/>
    <w:rsid w:val="7FDE017B"/>
    <w:rsid w:val="7FDE8D61"/>
    <w:rsid w:val="7FDEEA12"/>
    <w:rsid w:val="7FDF037A"/>
    <w:rsid w:val="7FDF046B"/>
    <w:rsid w:val="7FDF0DD0"/>
    <w:rsid w:val="7FDF26FF"/>
    <w:rsid w:val="7FDF32D4"/>
    <w:rsid w:val="7FDF35B1"/>
    <w:rsid w:val="7FDF5FDC"/>
    <w:rsid w:val="7FDF7B47"/>
    <w:rsid w:val="7FDFE46F"/>
    <w:rsid w:val="7FE32643"/>
    <w:rsid w:val="7FE553DA"/>
    <w:rsid w:val="7FE560AE"/>
    <w:rsid w:val="7FE5D2E2"/>
    <w:rsid w:val="7FE6D155"/>
    <w:rsid w:val="7FE75425"/>
    <w:rsid w:val="7FE78A8C"/>
    <w:rsid w:val="7FE7B39C"/>
    <w:rsid w:val="7FE8916A"/>
    <w:rsid w:val="7FE9FBB2"/>
    <w:rsid w:val="7FEA2D88"/>
    <w:rsid w:val="7FEA5A54"/>
    <w:rsid w:val="7FEB18B2"/>
    <w:rsid w:val="7FEB7C0D"/>
    <w:rsid w:val="7FEB84D2"/>
    <w:rsid w:val="7FEB8798"/>
    <w:rsid w:val="7FEBB36E"/>
    <w:rsid w:val="7FEBDF1E"/>
    <w:rsid w:val="7FEBE703"/>
    <w:rsid w:val="7FED2E1F"/>
    <w:rsid w:val="7FED4367"/>
    <w:rsid w:val="7FED6688"/>
    <w:rsid w:val="7FEDD6B5"/>
    <w:rsid w:val="7FEE1A85"/>
    <w:rsid w:val="7FEE3617"/>
    <w:rsid w:val="7FEE5E7C"/>
    <w:rsid w:val="7FEE786D"/>
    <w:rsid w:val="7FEECA21"/>
    <w:rsid w:val="7FEEEE74"/>
    <w:rsid w:val="7FEF03C4"/>
    <w:rsid w:val="7FEF1EDA"/>
    <w:rsid w:val="7FEF361E"/>
    <w:rsid w:val="7FEF5FA4"/>
    <w:rsid w:val="7FEF71BD"/>
    <w:rsid w:val="7FEF86BE"/>
    <w:rsid w:val="7FEFBA36"/>
    <w:rsid w:val="7FEFBFAD"/>
    <w:rsid w:val="7FEFC157"/>
    <w:rsid w:val="7FEFD585"/>
    <w:rsid w:val="7FEFDDE1"/>
    <w:rsid w:val="7FEFF788"/>
    <w:rsid w:val="7FEFFBBE"/>
    <w:rsid w:val="7FF13FCA"/>
    <w:rsid w:val="7FF38296"/>
    <w:rsid w:val="7FF387B3"/>
    <w:rsid w:val="7FF3AC5C"/>
    <w:rsid w:val="7FF40879"/>
    <w:rsid w:val="7FF487B5"/>
    <w:rsid w:val="7FF4BAC3"/>
    <w:rsid w:val="7FF4E3DB"/>
    <w:rsid w:val="7FF51BFF"/>
    <w:rsid w:val="7FF53035"/>
    <w:rsid w:val="7FF55249"/>
    <w:rsid w:val="7FF59284"/>
    <w:rsid w:val="7FF5A249"/>
    <w:rsid w:val="7FF61059"/>
    <w:rsid w:val="7FF6252F"/>
    <w:rsid w:val="7FF6ED8A"/>
    <w:rsid w:val="7FF700D0"/>
    <w:rsid w:val="7FF75F2F"/>
    <w:rsid w:val="7FF7812A"/>
    <w:rsid w:val="7FF78453"/>
    <w:rsid w:val="7FF7ABC5"/>
    <w:rsid w:val="7FF7B518"/>
    <w:rsid w:val="7FF7CDF8"/>
    <w:rsid w:val="7FF93701"/>
    <w:rsid w:val="7FF95074"/>
    <w:rsid w:val="7FFA060D"/>
    <w:rsid w:val="7FFA2430"/>
    <w:rsid w:val="7FFAB08A"/>
    <w:rsid w:val="7FFB1F49"/>
    <w:rsid w:val="7FFB22AF"/>
    <w:rsid w:val="7FFB724C"/>
    <w:rsid w:val="7FFBABCC"/>
    <w:rsid w:val="7FFBB2BB"/>
    <w:rsid w:val="7FFBCEA4"/>
    <w:rsid w:val="7FFBE288"/>
    <w:rsid w:val="7FFBE447"/>
    <w:rsid w:val="7FFBFDC3"/>
    <w:rsid w:val="7FFC18A3"/>
    <w:rsid w:val="7FFC738E"/>
    <w:rsid w:val="7FFCAEFC"/>
    <w:rsid w:val="7FFD0382"/>
    <w:rsid w:val="7FFD12CC"/>
    <w:rsid w:val="7FFD297B"/>
    <w:rsid w:val="7FFD5719"/>
    <w:rsid w:val="7FFD61AE"/>
    <w:rsid w:val="7FFD6C82"/>
    <w:rsid w:val="7FFD76BC"/>
    <w:rsid w:val="7FFDB00A"/>
    <w:rsid w:val="7FFDB543"/>
    <w:rsid w:val="7FFDB8B0"/>
    <w:rsid w:val="7FFDF022"/>
    <w:rsid w:val="7FFE0D03"/>
    <w:rsid w:val="7FFE0E42"/>
    <w:rsid w:val="7FFE2029"/>
    <w:rsid w:val="7FFE2099"/>
    <w:rsid w:val="7FFE5FE6"/>
    <w:rsid w:val="7FFE7206"/>
    <w:rsid w:val="7FFE7E6A"/>
    <w:rsid w:val="7FFEA2B1"/>
    <w:rsid w:val="7FFEB25A"/>
    <w:rsid w:val="7FFEC77B"/>
    <w:rsid w:val="7FFEDAD9"/>
    <w:rsid w:val="7FFF05B0"/>
    <w:rsid w:val="7FFF0985"/>
    <w:rsid w:val="7FFF1088"/>
    <w:rsid w:val="7FFF130F"/>
    <w:rsid w:val="7FFF19B6"/>
    <w:rsid w:val="7FFF1D8A"/>
    <w:rsid w:val="7FFF24C5"/>
    <w:rsid w:val="7FFF3557"/>
    <w:rsid w:val="7FFF4D88"/>
    <w:rsid w:val="7FFF5B4A"/>
    <w:rsid w:val="7FFF8234"/>
    <w:rsid w:val="7FFF8994"/>
    <w:rsid w:val="7FFF95B8"/>
    <w:rsid w:val="7FFFA72C"/>
    <w:rsid w:val="7FFFAF91"/>
    <w:rsid w:val="7FFFB865"/>
    <w:rsid w:val="7FFFBDB3"/>
    <w:rsid w:val="7FFFBF48"/>
    <w:rsid w:val="7FFFD00A"/>
    <w:rsid w:val="7FFFD8FA"/>
    <w:rsid w:val="7FFFE3A4"/>
    <w:rsid w:val="7FFFF79C"/>
    <w:rsid w:val="7FFFFA6D"/>
    <w:rsid w:val="80FFCD03"/>
    <w:rsid w:val="8279B603"/>
    <w:rsid w:val="83CB8463"/>
    <w:rsid w:val="846CD336"/>
    <w:rsid w:val="86CE378B"/>
    <w:rsid w:val="895A04AF"/>
    <w:rsid w:val="89F6E9EC"/>
    <w:rsid w:val="8C555C50"/>
    <w:rsid w:val="8D7E3A1A"/>
    <w:rsid w:val="8DB93F1D"/>
    <w:rsid w:val="8DBB5E6E"/>
    <w:rsid w:val="8DDB90A6"/>
    <w:rsid w:val="8DFFB4A4"/>
    <w:rsid w:val="8E7737DD"/>
    <w:rsid w:val="8E779A81"/>
    <w:rsid w:val="8E9DD5C9"/>
    <w:rsid w:val="8EC7D705"/>
    <w:rsid w:val="8EF4A33F"/>
    <w:rsid w:val="8EF58D2D"/>
    <w:rsid w:val="8EF633E7"/>
    <w:rsid w:val="8F1E390D"/>
    <w:rsid w:val="8F57A976"/>
    <w:rsid w:val="8F5FF2B6"/>
    <w:rsid w:val="8F7B3F44"/>
    <w:rsid w:val="8F7C9775"/>
    <w:rsid w:val="8F9E25DC"/>
    <w:rsid w:val="8FB391DE"/>
    <w:rsid w:val="8FCBBAE3"/>
    <w:rsid w:val="8FD919B8"/>
    <w:rsid w:val="8FDFAB98"/>
    <w:rsid w:val="8FDFE478"/>
    <w:rsid w:val="8FEF212B"/>
    <w:rsid w:val="8FF757C6"/>
    <w:rsid w:val="8FF7F411"/>
    <w:rsid w:val="8FF8579F"/>
    <w:rsid w:val="8FFD100C"/>
    <w:rsid w:val="8FFE882E"/>
    <w:rsid w:val="8FFF339D"/>
    <w:rsid w:val="8FFF810D"/>
    <w:rsid w:val="8FFFA67E"/>
    <w:rsid w:val="916786A4"/>
    <w:rsid w:val="91B6D3FD"/>
    <w:rsid w:val="91BFEEBC"/>
    <w:rsid w:val="92FB9FCA"/>
    <w:rsid w:val="93EF70DC"/>
    <w:rsid w:val="93F730C4"/>
    <w:rsid w:val="93FD12BE"/>
    <w:rsid w:val="93FE290B"/>
    <w:rsid w:val="94A73963"/>
    <w:rsid w:val="94FF0CBE"/>
    <w:rsid w:val="94FFF235"/>
    <w:rsid w:val="95D436F7"/>
    <w:rsid w:val="95DBFF20"/>
    <w:rsid w:val="95E2F176"/>
    <w:rsid w:val="95EB1148"/>
    <w:rsid w:val="95FFF65A"/>
    <w:rsid w:val="962FA45C"/>
    <w:rsid w:val="96BE360D"/>
    <w:rsid w:val="96DFCE37"/>
    <w:rsid w:val="96E0EA65"/>
    <w:rsid w:val="96E757F5"/>
    <w:rsid w:val="96FE7595"/>
    <w:rsid w:val="96FF4D34"/>
    <w:rsid w:val="973F8304"/>
    <w:rsid w:val="974AEDBF"/>
    <w:rsid w:val="974B5A88"/>
    <w:rsid w:val="97D75510"/>
    <w:rsid w:val="97DC1EEA"/>
    <w:rsid w:val="97DF61E3"/>
    <w:rsid w:val="97EAC311"/>
    <w:rsid w:val="97FF62A2"/>
    <w:rsid w:val="99BFE7AB"/>
    <w:rsid w:val="99DCEF16"/>
    <w:rsid w:val="9B3CD195"/>
    <w:rsid w:val="9B5EACFB"/>
    <w:rsid w:val="9B6F8FCC"/>
    <w:rsid w:val="9BBDA69D"/>
    <w:rsid w:val="9BBDC3E7"/>
    <w:rsid w:val="9BBFD841"/>
    <w:rsid w:val="9BBFEBE3"/>
    <w:rsid w:val="9BD77B7E"/>
    <w:rsid w:val="9BD9054F"/>
    <w:rsid w:val="9BDDED36"/>
    <w:rsid w:val="9BF6704C"/>
    <w:rsid w:val="9BFF66EE"/>
    <w:rsid w:val="9C2CC948"/>
    <w:rsid w:val="9C3B7DEA"/>
    <w:rsid w:val="9CDE124D"/>
    <w:rsid w:val="9CEF60B3"/>
    <w:rsid w:val="9CFE0639"/>
    <w:rsid w:val="9D6A5338"/>
    <w:rsid w:val="9D7EFD50"/>
    <w:rsid w:val="9DAF5EEF"/>
    <w:rsid w:val="9DB998E0"/>
    <w:rsid w:val="9DCDE0AD"/>
    <w:rsid w:val="9DD78EAF"/>
    <w:rsid w:val="9DE77EA5"/>
    <w:rsid w:val="9DFDCF7F"/>
    <w:rsid w:val="9E3D79D5"/>
    <w:rsid w:val="9E9FECE8"/>
    <w:rsid w:val="9EC632E2"/>
    <w:rsid w:val="9ECFB4B4"/>
    <w:rsid w:val="9ED577CE"/>
    <w:rsid w:val="9ED9B7B4"/>
    <w:rsid w:val="9EEF614F"/>
    <w:rsid w:val="9EFBFBF1"/>
    <w:rsid w:val="9F0B7939"/>
    <w:rsid w:val="9F5F5D78"/>
    <w:rsid w:val="9F7B6147"/>
    <w:rsid w:val="9F7C1AD5"/>
    <w:rsid w:val="9F7DDE26"/>
    <w:rsid w:val="9FAE2EC5"/>
    <w:rsid w:val="9FAFD9E6"/>
    <w:rsid w:val="9FB4614B"/>
    <w:rsid w:val="9FB8570F"/>
    <w:rsid w:val="9FBBD110"/>
    <w:rsid w:val="9FBE7514"/>
    <w:rsid w:val="9FC77631"/>
    <w:rsid w:val="9FDBC4DD"/>
    <w:rsid w:val="9FDD7B82"/>
    <w:rsid w:val="9FEB02FE"/>
    <w:rsid w:val="9FED4506"/>
    <w:rsid w:val="9FF44307"/>
    <w:rsid w:val="9FF60B82"/>
    <w:rsid w:val="9FF71991"/>
    <w:rsid w:val="9FFAE237"/>
    <w:rsid w:val="9FFB37B2"/>
    <w:rsid w:val="9FFD0F2E"/>
    <w:rsid w:val="9FFD27A0"/>
    <w:rsid w:val="9FFF9997"/>
    <w:rsid w:val="9FFFC468"/>
    <w:rsid w:val="9FFFF782"/>
    <w:rsid w:val="A0EE31AA"/>
    <w:rsid w:val="A16D9B50"/>
    <w:rsid w:val="A3BF9D95"/>
    <w:rsid w:val="A3EE7D81"/>
    <w:rsid w:val="A3FA61C8"/>
    <w:rsid w:val="A57F4118"/>
    <w:rsid w:val="A57F71DA"/>
    <w:rsid w:val="A5BFCB62"/>
    <w:rsid w:val="A5E768D1"/>
    <w:rsid w:val="A5EDB2EC"/>
    <w:rsid w:val="A66F4531"/>
    <w:rsid w:val="A6F39599"/>
    <w:rsid w:val="A71D4952"/>
    <w:rsid w:val="A7676130"/>
    <w:rsid w:val="A7BE525A"/>
    <w:rsid w:val="A7DD52BB"/>
    <w:rsid w:val="A7DEBB6F"/>
    <w:rsid w:val="A7EB3CF3"/>
    <w:rsid w:val="A7EC25CC"/>
    <w:rsid w:val="A7EFD398"/>
    <w:rsid w:val="A7FA2D85"/>
    <w:rsid w:val="A7FDEDF5"/>
    <w:rsid w:val="A95FB29A"/>
    <w:rsid w:val="A97F623E"/>
    <w:rsid w:val="A9F33C57"/>
    <w:rsid w:val="AA73FD39"/>
    <w:rsid w:val="AA7EA909"/>
    <w:rsid w:val="AA9F721C"/>
    <w:rsid w:val="AADB1A8B"/>
    <w:rsid w:val="AADCEA42"/>
    <w:rsid w:val="AAFBD661"/>
    <w:rsid w:val="AB179D00"/>
    <w:rsid w:val="AB1BB8AE"/>
    <w:rsid w:val="AB3B6A09"/>
    <w:rsid w:val="AB5D0B7A"/>
    <w:rsid w:val="AB5F556E"/>
    <w:rsid w:val="AB7F3FCC"/>
    <w:rsid w:val="ABB986EA"/>
    <w:rsid w:val="ABD1135A"/>
    <w:rsid w:val="ABD2B466"/>
    <w:rsid w:val="ABDD804A"/>
    <w:rsid w:val="ABDFA884"/>
    <w:rsid w:val="ABEBA6C4"/>
    <w:rsid w:val="ABF708D8"/>
    <w:rsid w:val="ABF737B6"/>
    <w:rsid w:val="ABFA6457"/>
    <w:rsid w:val="ABFFBDB0"/>
    <w:rsid w:val="AC2B3B6A"/>
    <w:rsid w:val="AC7F6EE1"/>
    <w:rsid w:val="AC7F820B"/>
    <w:rsid w:val="ACFF64AD"/>
    <w:rsid w:val="AD7ED273"/>
    <w:rsid w:val="ADB6CC02"/>
    <w:rsid w:val="ADBFF20A"/>
    <w:rsid w:val="ADDD07D3"/>
    <w:rsid w:val="ADE23B69"/>
    <w:rsid w:val="ADEBBAA5"/>
    <w:rsid w:val="ADFD63E2"/>
    <w:rsid w:val="ADFE247D"/>
    <w:rsid w:val="ADFE884D"/>
    <w:rsid w:val="ADFEB1E6"/>
    <w:rsid w:val="AE5D88BA"/>
    <w:rsid w:val="AE7E0432"/>
    <w:rsid w:val="AE9F477A"/>
    <w:rsid w:val="AEEF1FB9"/>
    <w:rsid w:val="AEEF4A28"/>
    <w:rsid w:val="AEEFA875"/>
    <w:rsid w:val="AEFB9830"/>
    <w:rsid w:val="AF5FEB18"/>
    <w:rsid w:val="AF7CDED2"/>
    <w:rsid w:val="AF7DA3C8"/>
    <w:rsid w:val="AF7E7C2A"/>
    <w:rsid w:val="AF9769B4"/>
    <w:rsid w:val="AF9F1A83"/>
    <w:rsid w:val="AFADB041"/>
    <w:rsid w:val="AFB560F1"/>
    <w:rsid w:val="AFBD03D9"/>
    <w:rsid w:val="AFBDEC29"/>
    <w:rsid w:val="AFBF8780"/>
    <w:rsid w:val="AFBFC05B"/>
    <w:rsid w:val="AFC70B4F"/>
    <w:rsid w:val="AFCFD965"/>
    <w:rsid w:val="AFCFFE90"/>
    <w:rsid w:val="AFD7FEFD"/>
    <w:rsid w:val="AFD9E386"/>
    <w:rsid w:val="AFDE7ADA"/>
    <w:rsid w:val="AFED8A1D"/>
    <w:rsid w:val="AFEF7ED8"/>
    <w:rsid w:val="AFF70FD2"/>
    <w:rsid w:val="AFF72727"/>
    <w:rsid w:val="AFF88C85"/>
    <w:rsid w:val="AFFDA01C"/>
    <w:rsid w:val="AFFEB97C"/>
    <w:rsid w:val="AFFFCC9A"/>
    <w:rsid w:val="AFFFE510"/>
    <w:rsid w:val="B0F7FF09"/>
    <w:rsid w:val="B0FD5AFD"/>
    <w:rsid w:val="B1FC24FA"/>
    <w:rsid w:val="B1FD68E9"/>
    <w:rsid w:val="B2BB30F3"/>
    <w:rsid w:val="B2FF32C7"/>
    <w:rsid w:val="B37CA7E4"/>
    <w:rsid w:val="B3BD97EE"/>
    <w:rsid w:val="B3BFC183"/>
    <w:rsid w:val="B3CFAB71"/>
    <w:rsid w:val="B3E7D617"/>
    <w:rsid w:val="B3EF4D99"/>
    <w:rsid w:val="B3FB894B"/>
    <w:rsid w:val="B3FF50E3"/>
    <w:rsid w:val="B3FF5412"/>
    <w:rsid w:val="B47F89B0"/>
    <w:rsid w:val="B4FBBBD1"/>
    <w:rsid w:val="B4FEDE61"/>
    <w:rsid w:val="B4FF30FB"/>
    <w:rsid w:val="B543A716"/>
    <w:rsid w:val="B573BF2F"/>
    <w:rsid w:val="B57FCBF6"/>
    <w:rsid w:val="B5B248CD"/>
    <w:rsid w:val="B5BEC67B"/>
    <w:rsid w:val="B5CF1C05"/>
    <w:rsid w:val="B5D6530D"/>
    <w:rsid w:val="B5DBD1FE"/>
    <w:rsid w:val="B5E719EF"/>
    <w:rsid w:val="B5EF628F"/>
    <w:rsid w:val="B5F40073"/>
    <w:rsid w:val="B5F5CB99"/>
    <w:rsid w:val="B5F7D78A"/>
    <w:rsid w:val="B5FE8FD7"/>
    <w:rsid w:val="B5FEC9C1"/>
    <w:rsid w:val="B60BBED1"/>
    <w:rsid w:val="B65E773E"/>
    <w:rsid w:val="B67F00BA"/>
    <w:rsid w:val="B6ADA551"/>
    <w:rsid w:val="B6DA2EA6"/>
    <w:rsid w:val="B6DB5B85"/>
    <w:rsid w:val="B6EE0AEA"/>
    <w:rsid w:val="B6F8E891"/>
    <w:rsid w:val="B6F93972"/>
    <w:rsid w:val="B6FD7863"/>
    <w:rsid w:val="B6FE87DC"/>
    <w:rsid w:val="B6FEE0EF"/>
    <w:rsid w:val="B76F24B8"/>
    <w:rsid w:val="B7776E5D"/>
    <w:rsid w:val="B77A5BF2"/>
    <w:rsid w:val="B77AA561"/>
    <w:rsid w:val="B77DA8CF"/>
    <w:rsid w:val="B77EBE9E"/>
    <w:rsid w:val="B77FC7CA"/>
    <w:rsid w:val="B77FE174"/>
    <w:rsid w:val="B78EC63C"/>
    <w:rsid w:val="B7974978"/>
    <w:rsid w:val="B7B7562D"/>
    <w:rsid w:val="B7BE33D4"/>
    <w:rsid w:val="B7BF93A3"/>
    <w:rsid w:val="B7BFD1D0"/>
    <w:rsid w:val="B7DB9A56"/>
    <w:rsid w:val="B7DF88E2"/>
    <w:rsid w:val="B7E7547C"/>
    <w:rsid w:val="B7EDF0E6"/>
    <w:rsid w:val="B7EEF274"/>
    <w:rsid w:val="B7EFE291"/>
    <w:rsid w:val="B7F382A3"/>
    <w:rsid w:val="B7F3A8CA"/>
    <w:rsid w:val="B7F57165"/>
    <w:rsid w:val="B7F6BDCC"/>
    <w:rsid w:val="B7F77524"/>
    <w:rsid w:val="B7F98A02"/>
    <w:rsid w:val="B7FCD2DD"/>
    <w:rsid w:val="B7FD6937"/>
    <w:rsid w:val="B7FF71B7"/>
    <w:rsid w:val="B7FFD219"/>
    <w:rsid w:val="B82EED5A"/>
    <w:rsid w:val="B85FA164"/>
    <w:rsid w:val="B8B5CBEF"/>
    <w:rsid w:val="B8EF1B3E"/>
    <w:rsid w:val="B93EE6A6"/>
    <w:rsid w:val="B9562248"/>
    <w:rsid w:val="B97F87B5"/>
    <w:rsid w:val="B9ABBB48"/>
    <w:rsid w:val="B9AC02A8"/>
    <w:rsid w:val="B9ADF264"/>
    <w:rsid w:val="B9B7F014"/>
    <w:rsid w:val="B9BA7CD5"/>
    <w:rsid w:val="B9BEA435"/>
    <w:rsid w:val="B9CF54F9"/>
    <w:rsid w:val="B9D3DAEF"/>
    <w:rsid w:val="B9DFE17C"/>
    <w:rsid w:val="B9FD8CDF"/>
    <w:rsid w:val="B9FF176C"/>
    <w:rsid w:val="BA6A4946"/>
    <w:rsid w:val="BA77B913"/>
    <w:rsid w:val="BAB4695E"/>
    <w:rsid w:val="BADE5D4D"/>
    <w:rsid w:val="BADF1D93"/>
    <w:rsid w:val="BAE5BA57"/>
    <w:rsid w:val="BAEF8865"/>
    <w:rsid w:val="BAFE9C36"/>
    <w:rsid w:val="BAFFD6AB"/>
    <w:rsid w:val="BB1F3B66"/>
    <w:rsid w:val="BB4D94A0"/>
    <w:rsid w:val="BB6DB3E9"/>
    <w:rsid w:val="BB77CFB1"/>
    <w:rsid w:val="BB7F2462"/>
    <w:rsid w:val="BB7F2E8F"/>
    <w:rsid w:val="BB8CCCAA"/>
    <w:rsid w:val="BB93FBC2"/>
    <w:rsid w:val="BB9DB927"/>
    <w:rsid w:val="BBAFC0E0"/>
    <w:rsid w:val="BBB5D293"/>
    <w:rsid w:val="BBCD1ABD"/>
    <w:rsid w:val="BBD7F1A1"/>
    <w:rsid w:val="BBDAC707"/>
    <w:rsid w:val="BBDBA898"/>
    <w:rsid w:val="BBE2C160"/>
    <w:rsid w:val="BBF290D1"/>
    <w:rsid w:val="BBF77882"/>
    <w:rsid w:val="BBFBB68C"/>
    <w:rsid w:val="BBFD379E"/>
    <w:rsid w:val="BBFD5417"/>
    <w:rsid w:val="BBFDE04C"/>
    <w:rsid w:val="BBFDE413"/>
    <w:rsid w:val="BBFEBF7D"/>
    <w:rsid w:val="BBFF7E7E"/>
    <w:rsid w:val="BBFF8A50"/>
    <w:rsid w:val="BBFFD962"/>
    <w:rsid w:val="BBFFDD96"/>
    <w:rsid w:val="BBFFE29D"/>
    <w:rsid w:val="BCAF258E"/>
    <w:rsid w:val="BCBCEFDD"/>
    <w:rsid w:val="BCBD72F7"/>
    <w:rsid w:val="BCBE27A0"/>
    <w:rsid w:val="BCDB9EE8"/>
    <w:rsid w:val="BCDF9EFC"/>
    <w:rsid w:val="BCF3E16C"/>
    <w:rsid w:val="BD561FB1"/>
    <w:rsid w:val="BD6E2257"/>
    <w:rsid w:val="BD7794DA"/>
    <w:rsid w:val="BD7B1A44"/>
    <w:rsid w:val="BD7F46D2"/>
    <w:rsid w:val="BD7F9D72"/>
    <w:rsid w:val="BD7FDC98"/>
    <w:rsid w:val="BD9B6E03"/>
    <w:rsid w:val="BD9B9B12"/>
    <w:rsid w:val="BDB79E0A"/>
    <w:rsid w:val="BDBEB908"/>
    <w:rsid w:val="BDBFB198"/>
    <w:rsid w:val="BDBFE233"/>
    <w:rsid w:val="BDCBAB5D"/>
    <w:rsid w:val="BDCE49F2"/>
    <w:rsid w:val="BDE422DC"/>
    <w:rsid w:val="BDEDC605"/>
    <w:rsid w:val="BDF7BA37"/>
    <w:rsid w:val="BDFB043E"/>
    <w:rsid w:val="BDFB288B"/>
    <w:rsid w:val="BDFB365F"/>
    <w:rsid w:val="BDFBA4D1"/>
    <w:rsid w:val="BDFD04EE"/>
    <w:rsid w:val="BDFD4E45"/>
    <w:rsid w:val="BDFE45FB"/>
    <w:rsid w:val="BDFF057A"/>
    <w:rsid w:val="BDFF0EF4"/>
    <w:rsid w:val="BDFF60EE"/>
    <w:rsid w:val="BDFF6C43"/>
    <w:rsid w:val="BDFF6C7D"/>
    <w:rsid w:val="BDFF8764"/>
    <w:rsid w:val="BDFFA750"/>
    <w:rsid w:val="BDFFE423"/>
    <w:rsid w:val="BDFFE602"/>
    <w:rsid w:val="BE3F416E"/>
    <w:rsid w:val="BE3F5A65"/>
    <w:rsid w:val="BE4E0769"/>
    <w:rsid w:val="BE5BD105"/>
    <w:rsid w:val="BE5D232A"/>
    <w:rsid w:val="BE5E5B4B"/>
    <w:rsid w:val="BE76DEF5"/>
    <w:rsid w:val="BE7A2113"/>
    <w:rsid w:val="BE7EA3DB"/>
    <w:rsid w:val="BE7EED14"/>
    <w:rsid w:val="BE7FE8C8"/>
    <w:rsid w:val="BE92F70D"/>
    <w:rsid w:val="BEA5A5E6"/>
    <w:rsid w:val="BEB3B00F"/>
    <w:rsid w:val="BEB55A42"/>
    <w:rsid w:val="BEB662F8"/>
    <w:rsid w:val="BEBF2351"/>
    <w:rsid w:val="BEC78E2B"/>
    <w:rsid w:val="BECF1B2E"/>
    <w:rsid w:val="BECF2661"/>
    <w:rsid w:val="BED2F2C6"/>
    <w:rsid w:val="BEDB741B"/>
    <w:rsid w:val="BEDFC3AD"/>
    <w:rsid w:val="BEE30B6E"/>
    <w:rsid w:val="BEE7C0AD"/>
    <w:rsid w:val="BEE9C847"/>
    <w:rsid w:val="BEEB9965"/>
    <w:rsid w:val="BEEF56C5"/>
    <w:rsid w:val="BEEFCB4B"/>
    <w:rsid w:val="BEF313BC"/>
    <w:rsid w:val="BEF33085"/>
    <w:rsid w:val="BEF50456"/>
    <w:rsid w:val="BEF7DF62"/>
    <w:rsid w:val="BEF89B30"/>
    <w:rsid w:val="BEF9AF0D"/>
    <w:rsid w:val="BEFB8A60"/>
    <w:rsid w:val="BEFCC072"/>
    <w:rsid w:val="BEFD0FFD"/>
    <w:rsid w:val="BEFDEDA0"/>
    <w:rsid w:val="BEFF0EFF"/>
    <w:rsid w:val="BEFF3A93"/>
    <w:rsid w:val="BEFF4803"/>
    <w:rsid w:val="BEFF7C2A"/>
    <w:rsid w:val="BEFF9A0C"/>
    <w:rsid w:val="BEFFE53F"/>
    <w:rsid w:val="BF2E7C35"/>
    <w:rsid w:val="BF307306"/>
    <w:rsid w:val="BF37F027"/>
    <w:rsid w:val="BF3D25D4"/>
    <w:rsid w:val="BF3DA523"/>
    <w:rsid w:val="BF55F928"/>
    <w:rsid w:val="BF5F4C42"/>
    <w:rsid w:val="BF6A0765"/>
    <w:rsid w:val="BF6CFC4B"/>
    <w:rsid w:val="BF6EB7FE"/>
    <w:rsid w:val="BF6EDD25"/>
    <w:rsid w:val="BF6F62B2"/>
    <w:rsid w:val="BF6FCC60"/>
    <w:rsid w:val="BF7668F8"/>
    <w:rsid w:val="BF77A6B9"/>
    <w:rsid w:val="BF77C6B9"/>
    <w:rsid w:val="BF794C79"/>
    <w:rsid w:val="BF7D8BC2"/>
    <w:rsid w:val="BF7F9BDC"/>
    <w:rsid w:val="BF90CA1B"/>
    <w:rsid w:val="BF975AA3"/>
    <w:rsid w:val="BF9CB665"/>
    <w:rsid w:val="BF9F0A18"/>
    <w:rsid w:val="BF9F6989"/>
    <w:rsid w:val="BF9FC066"/>
    <w:rsid w:val="BF9FCB30"/>
    <w:rsid w:val="BF9FE74A"/>
    <w:rsid w:val="BFAD540F"/>
    <w:rsid w:val="BFADB94E"/>
    <w:rsid w:val="BFB3A0D7"/>
    <w:rsid w:val="BFB5CDFD"/>
    <w:rsid w:val="BFBD05D4"/>
    <w:rsid w:val="BFBE1569"/>
    <w:rsid w:val="BFBE15F1"/>
    <w:rsid w:val="BFBED00B"/>
    <w:rsid w:val="BFBED914"/>
    <w:rsid w:val="BFBEEC45"/>
    <w:rsid w:val="BFBFD21E"/>
    <w:rsid w:val="BFBFFD25"/>
    <w:rsid w:val="BFCFDC66"/>
    <w:rsid w:val="BFCFF874"/>
    <w:rsid w:val="BFD226E1"/>
    <w:rsid w:val="BFD6A05A"/>
    <w:rsid w:val="BFD7D9B7"/>
    <w:rsid w:val="BFDABF2B"/>
    <w:rsid w:val="BFDD5C93"/>
    <w:rsid w:val="BFDDA9B9"/>
    <w:rsid w:val="BFDE1716"/>
    <w:rsid w:val="BFDF0A46"/>
    <w:rsid w:val="BFDFE759"/>
    <w:rsid w:val="BFE6F841"/>
    <w:rsid w:val="BFE72F71"/>
    <w:rsid w:val="BFEAB6ED"/>
    <w:rsid w:val="BFEB6C56"/>
    <w:rsid w:val="BFEEA65B"/>
    <w:rsid w:val="BFEF7D85"/>
    <w:rsid w:val="BFF52433"/>
    <w:rsid w:val="BFF59B77"/>
    <w:rsid w:val="BFF6AEC7"/>
    <w:rsid w:val="BFF7BB2D"/>
    <w:rsid w:val="BFF7E779"/>
    <w:rsid w:val="BFF7FA54"/>
    <w:rsid w:val="BFF87820"/>
    <w:rsid w:val="BFF8E340"/>
    <w:rsid w:val="BFFD32EA"/>
    <w:rsid w:val="BFFD68B3"/>
    <w:rsid w:val="BFFDB191"/>
    <w:rsid w:val="BFFEC5B0"/>
    <w:rsid w:val="BFFEE2FA"/>
    <w:rsid w:val="BFFF00EC"/>
    <w:rsid w:val="BFFF35CA"/>
    <w:rsid w:val="BFFF7935"/>
    <w:rsid w:val="BFFF7C9F"/>
    <w:rsid w:val="BFFFB560"/>
    <w:rsid w:val="BFFFF1AD"/>
    <w:rsid w:val="C17D68ED"/>
    <w:rsid w:val="C2FCB1B3"/>
    <w:rsid w:val="C37AAC54"/>
    <w:rsid w:val="C43DDB50"/>
    <w:rsid w:val="C45B4F20"/>
    <w:rsid w:val="C5B797FD"/>
    <w:rsid w:val="C5F7FB65"/>
    <w:rsid w:val="C5FD551C"/>
    <w:rsid w:val="C5FE3F02"/>
    <w:rsid w:val="C5FFFE68"/>
    <w:rsid w:val="C6B7B897"/>
    <w:rsid w:val="C6F6AF24"/>
    <w:rsid w:val="C6FBBF18"/>
    <w:rsid w:val="C76972A0"/>
    <w:rsid w:val="C777EE85"/>
    <w:rsid w:val="C77F7EA2"/>
    <w:rsid w:val="C7B1C759"/>
    <w:rsid w:val="C7BB5262"/>
    <w:rsid w:val="C7D601FA"/>
    <w:rsid w:val="C7EAA5E5"/>
    <w:rsid w:val="C7EF0D28"/>
    <w:rsid w:val="C7FF934C"/>
    <w:rsid w:val="C8AF4A14"/>
    <w:rsid w:val="C8EF3E6E"/>
    <w:rsid w:val="C8F490CE"/>
    <w:rsid w:val="C9B38979"/>
    <w:rsid w:val="C9CCF4AA"/>
    <w:rsid w:val="CAEB283D"/>
    <w:rsid w:val="CAFE80EF"/>
    <w:rsid w:val="CB776913"/>
    <w:rsid w:val="CB7EEBF6"/>
    <w:rsid w:val="CB7FC81B"/>
    <w:rsid w:val="CBDBBD5E"/>
    <w:rsid w:val="CBDDAD2D"/>
    <w:rsid w:val="CBF64AA9"/>
    <w:rsid w:val="CC37D9CF"/>
    <w:rsid w:val="CCDFFE68"/>
    <w:rsid w:val="CCFE5C51"/>
    <w:rsid w:val="CD267848"/>
    <w:rsid w:val="CDBF433D"/>
    <w:rsid w:val="CDC8FFF3"/>
    <w:rsid w:val="CDD41327"/>
    <w:rsid w:val="CDFF0E39"/>
    <w:rsid w:val="CDFFE8A5"/>
    <w:rsid w:val="CE3D9103"/>
    <w:rsid w:val="CE3EF5F4"/>
    <w:rsid w:val="CE754710"/>
    <w:rsid w:val="CEEEF0CA"/>
    <w:rsid w:val="CEF50C1F"/>
    <w:rsid w:val="CF1FB642"/>
    <w:rsid w:val="CF2FE2B4"/>
    <w:rsid w:val="CF6DE5BC"/>
    <w:rsid w:val="CF6F6018"/>
    <w:rsid w:val="CF716AC5"/>
    <w:rsid w:val="CF72B17E"/>
    <w:rsid w:val="CF7FA11E"/>
    <w:rsid w:val="CF9A4DC9"/>
    <w:rsid w:val="CFA68A64"/>
    <w:rsid w:val="CFBF0174"/>
    <w:rsid w:val="CFD3AB7C"/>
    <w:rsid w:val="CFDF3E69"/>
    <w:rsid w:val="CFE6A780"/>
    <w:rsid w:val="CFEF4027"/>
    <w:rsid w:val="CFEFEC45"/>
    <w:rsid w:val="CFF6E0D5"/>
    <w:rsid w:val="CFF71353"/>
    <w:rsid w:val="CFFDB157"/>
    <w:rsid w:val="CFFDF41D"/>
    <w:rsid w:val="CFFE2854"/>
    <w:rsid w:val="CFFF10F7"/>
    <w:rsid w:val="CFFF43DA"/>
    <w:rsid w:val="CFFFC639"/>
    <w:rsid w:val="CFFFE1AE"/>
    <w:rsid w:val="CFFFF657"/>
    <w:rsid w:val="CFFFFFC7"/>
    <w:rsid w:val="D0294979"/>
    <w:rsid w:val="D09DE594"/>
    <w:rsid w:val="D0CEDEE2"/>
    <w:rsid w:val="D13D4CEA"/>
    <w:rsid w:val="D1CDCCC4"/>
    <w:rsid w:val="D1F28609"/>
    <w:rsid w:val="D2BF3F5C"/>
    <w:rsid w:val="D2BF914E"/>
    <w:rsid w:val="D2F70447"/>
    <w:rsid w:val="D2FF4BD6"/>
    <w:rsid w:val="D333A14D"/>
    <w:rsid w:val="D337C9C8"/>
    <w:rsid w:val="D39E5A85"/>
    <w:rsid w:val="D3EB2B11"/>
    <w:rsid w:val="D3ED33D8"/>
    <w:rsid w:val="D3EF2870"/>
    <w:rsid w:val="D3F1C814"/>
    <w:rsid w:val="D3FD0B66"/>
    <w:rsid w:val="D3FFD9C7"/>
    <w:rsid w:val="D4EEE12B"/>
    <w:rsid w:val="D5376F7E"/>
    <w:rsid w:val="D55F5D26"/>
    <w:rsid w:val="D56E4241"/>
    <w:rsid w:val="D57B5E7A"/>
    <w:rsid w:val="D5DE7722"/>
    <w:rsid w:val="D5DE8897"/>
    <w:rsid w:val="D5EF5050"/>
    <w:rsid w:val="D62F2968"/>
    <w:rsid w:val="D659F487"/>
    <w:rsid w:val="D67D172E"/>
    <w:rsid w:val="D68FB5D0"/>
    <w:rsid w:val="D6BA70C2"/>
    <w:rsid w:val="D6D25D66"/>
    <w:rsid w:val="D6E330D8"/>
    <w:rsid w:val="D6EED15F"/>
    <w:rsid w:val="D6EFD54D"/>
    <w:rsid w:val="D6F795FF"/>
    <w:rsid w:val="D717F671"/>
    <w:rsid w:val="D7571193"/>
    <w:rsid w:val="D7571352"/>
    <w:rsid w:val="D757303B"/>
    <w:rsid w:val="D773DCAF"/>
    <w:rsid w:val="D7760EF4"/>
    <w:rsid w:val="D777023F"/>
    <w:rsid w:val="D77749CB"/>
    <w:rsid w:val="D77838B4"/>
    <w:rsid w:val="D7A3BD7E"/>
    <w:rsid w:val="D7AEFA83"/>
    <w:rsid w:val="D7BF1D2E"/>
    <w:rsid w:val="D7DB525E"/>
    <w:rsid w:val="D7DCC0B9"/>
    <w:rsid w:val="D7DDBEBE"/>
    <w:rsid w:val="D7DE3FE7"/>
    <w:rsid w:val="D7E37A6E"/>
    <w:rsid w:val="D7EF0C9F"/>
    <w:rsid w:val="D7F51F85"/>
    <w:rsid w:val="D7FA43E1"/>
    <w:rsid w:val="D7FB55A1"/>
    <w:rsid w:val="D7FBAC29"/>
    <w:rsid w:val="D7FD607C"/>
    <w:rsid w:val="D7FF76D5"/>
    <w:rsid w:val="D7FF7C93"/>
    <w:rsid w:val="D97CC9F7"/>
    <w:rsid w:val="D97FF099"/>
    <w:rsid w:val="D98BCC3C"/>
    <w:rsid w:val="D9B6A866"/>
    <w:rsid w:val="D9BE87F4"/>
    <w:rsid w:val="D9EE2E0A"/>
    <w:rsid w:val="D9FB7833"/>
    <w:rsid w:val="D9FE0400"/>
    <w:rsid w:val="DA3BB9DB"/>
    <w:rsid w:val="DA6DFAD5"/>
    <w:rsid w:val="DA793941"/>
    <w:rsid w:val="DA7F64D4"/>
    <w:rsid w:val="DAB7D18E"/>
    <w:rsid w:val="DAEE7697"/>
    <w:rsid w:val="DAF79244"/>
    <w:rsid w:val="DAFFB235"/>
    <w:rsid w:val="DB2FFBB7"/>
    <w:rsid w:val="DB357086"/>
    <w:rsid w:val="DB5FD6D7"/>
    <w:rsid w:val="DB6BA1CA"/>
    <w:rsid w:val="DB72F2A6"/>
    <w:rsid w:val="DB761F99"/>
    <w:rsid w:val="DB7FEF1E"/>
    <w:rsid w:val="DB87EE43"/>
    <w:rsid w:val="DBB75768"/>
    <w:rsid w:val="DBBFDD43"/>
    <w:rsid w:val="DBCF4DDB"/>
    <w:rsid w:val="DBCF678D"/>
    <w:rsid w:val="DBD7B466"/>
    <w:rsid w:val="DBDFDD0E"/>
    <w:rsid w:val="DBE7E1CE"/>
    <w:rsid w:val="DBE9EE2D"/>
    <w:rsid w:val="DBED3340"/>
    <w:rsid w:val="DBEF56CD"/>
    <w:rsid w:val="DBEFA187"/>
    <w:rsid w:val="DBF319B5"/>
    <w:rsid w:val="DBFBCBA5"/>
    <w:rsid w:val="DBFDDC09"/>
    <w:rsid w:val="DBFE2F03"/>
    <w:rsid w:val="DBFE96BE"/>
    <w:rsid w:val="DBFF6584"/>
    <w:rsid w:val="DBFF6AC5"/>
    <w:rsid w:val="DBFF7EC1"/>
    <w:rsid w:val="DC7C1640"/>
    <w:rsid w:val="DC9FCB05"/>
    <w:rsid w:val="DCDF5708"/>
    <w:rsid w:val="DCE3EDCE"/>
    <w:rsid w:val="DCF98760"/>
    <w:rsid w:val="DCFEEF90"/>
    <w:rsid w:val="DCFF63A0"/>
    <w:rsid w:val="DD0C3EEA"/>
    <w:rsid w:val="DD1F5040"/>
    <w:rsid w:val="DD2F411D"/>
    <w:rsid w:val="DD3B5158"/>
    <w:rsid w:val="DD57D34A"/>
    <w:rsid w:val="DD6B6A7F"/>
    <w:rsid w:val="DD7F6F8C"/>
    <w:rsid w:val="DD9B1D32"/>
    <w:rsid w:val="DD9F84A1"/>
    <w:rsid w:val="DDA5D652"/>
    <w:rsid w:val="DDA7AB42"/>
    <w:rsid w:val="DDAB4B02"/>
    <w:rsid w:val="DDBBE3D8"/>
    <w:rsid w:val="DDBC1944"/>
    <w:rsid w:val="DDBE263A"/>
    <w:rsid w:val="DDBEFB1A"/>
    <w:rsid w:val="DDC6216A"/>
    <w:rsid w:val="DDD4E437"/>
    <w:rsid w:val="DDDD6B9C"/>
    <w:rsid w:val="DDDF7D76"/>
    <w:rsid w:val="DDDFD4B5"/>
    <w:rsid w:val="DDE629C3"/>
    <w:rsid w:val="DDE97585"/>
    <w:rsid w:val="DDEBAFC4"/>
    <w:rsid w:val="DDF999FD"/>
    <w:rsid w:val="DDFA5DCA"/>
    <w:rsid w:val="DDFC27F3"/>
    <w:rsid w:val="DDFCBCEE"/>
    <w:rsid w:val="DDFD4D43"/>
    <w:rsid w:val="DDFEB3F2"/>
    <w:rsid w:val="DDFEC40E"/>
    <w:rsid w:val="DE1F1C5F"/>
    <w:rsid w:val="DE3E3B34"/>
    <w:rsid w:val="DE4BBD8A"/>
    <w:rsid w:val="DE59A0A4"/>
    <w:rsid w:val="DE6E6B8C"/>
    <w:rsid w:val="DE75B95A"/>
    <w:rsid w:val="DE7941CC"/>
    <w:rsid w:val="DE7C8FF4"/>
    <w:rsid w:val="DEADAC2C"/>
    <w:rsid w:val="DEAF0AAC"/>
    <w:rsid w:val="DEB4DB32"/>
    <w:rsid w:val="DEBC1122"/>
    <w:rsid w:val="DEBEF61B"/>
    <w:rsid w:val="DEBF473B"/>
    <w:rsid w:val="DEBF60CE"/>
    <w:rsid w:val="DED38930"/>
    <w:rsid w:val="DEE7DC90"/>
    <w:rsid w:val="DEEF6CDE"/>
    <w:rsid w:val="DEEFB744"/>
    <w:rsid w:val="DEF16249"/>
    <w:rsid w:val="DEF24D21"/>
    <w:rsid w:val="DEF7FC92"/>
    <w:rsid w:val="DEFB1A5D"/>
    <w:rsid w:val="DEFE01E9"/>
    <w:rsid w:val="DF0D0550"/>
    <w:rsid w:val="DF3A261F"/>
    <w:rsid w:val="DF3E1BD7"/>
    <w:rsid w:val="DF4DFE70"/>
    <w:rsid w:val="DF5B2B0B"/>
    <w:rsid w:val="DF6BC983"/>
    <w:rsid w:val="DF6F3CB6"/>
    <w:rsid w:val="DF6FBBFF"/>
    <w:rsid w:val="DF6FBE61"/>
    <w:rsid w:val="DF7662BD"/>
    <w:rsid w:val="DF7BF2AA"/>
    <w:rsid w:val="DF7C849B"/>
    <w:rsid w:val="DF7DAD6D"/>
    <w:rsid w:val="DF7E1921"/>
    <w:rsid w:val="DF7E85A0"/>
    <w:rsid w:val="DF7EAFC4"/>
    <w:rsid w:val="DF7F0EBA"/>
    <w:rsid w:val="DF7F8760"/>
    <w:rsid w:val="DF87B9E9"/>
    <w:rsid w:val="DF97B8AA"/>
    <w:rsid w:val="DF9ADE3A"/>
    <w:rsid w:val="DF9BEF65"/>
    <w:rsid w:val="DF9C8AE9"/>
    <w:rsid w:val="DF9DB914"/>
    <w:rsid w:val="DFA0125D"/>
    <w:rsid w:val="DFA42360"/>
    <w:rsid w:val="DFA76278"/>
    <w:rsid w:val="DFAF2090"/>
    <w:rsid w:val="DFAF7B5C"/>
    <w:rsid w:val="DFAF86BF"/>
    <w:rsid w:val="DFAFC276"/>
    <w:rsid w:val="DFB3783F"/>
    <w:rsid w:val="DFB7E527"/>
    <w:rsid w:val="DFBA4A5E"/>
    <w:rsid w:val="DFBB70C5"/>
    <w:rsid w:val="DFBBB7F6"/>
    <w:rsid w:val="DFBD47AC"/>
    <w:rsid w:val="DFBF2709"/>
    <w:rsid w:val="DFBFC083"/>
    <w:rsid w:val="DFCA6259"/>
    <w:rsid w:val="DFCD21D3"/>
    <w:rsid w:val="DFCF2822"/>
    <w:rsid w:val="DFCFC93D"/>
    <w:rsid w:val="DFD19BF3"/>
    <w:rsid w:val="DFD64182"/>
    <w:rsid w:val="DFDB32D3"/>
    <w:rsid w:val="DFDD0C60"/>
    <w:rsid w:val="DFDD7AC0"/>
    <w:rsid w:val="DFDF4F37"/>
    <w:rsid w:val="DFDF5368"/>
    <w:rsid w:val="DFDF6313"/>
    <w:rsid w:val="DFDFA321"/>
    <w:rsid w:val="DFEA9016"/>
    <w:rsid w:val="DFED4A92"/>
    <w:rsid w:val="DFEF6B41"/>
    <w:rsid w:val="DFF0980D"/>
    <w:rsid w:val="DFF126A7"/>
    <w:rsid w:val="DFF3CF92"/>
    <w:rsid w:val="DFF4BF78"/>
    <w:rsid w:val="DFF70447"/>
    <w:rsid w:val="DFF78608"/>
    <w:rsid w:val="DFF7D133"/>
    <w:rsid w:val="DFF7DAC5"/>
    <w:rsid w:val="DFF7EDB8"/>
    <w:rsid w:val="DFF8506E"/>
    <w:rsid w:val="DFF95B8E"/>
    <w:rsid w:val="DFF9E8D7"/>
    <w:rsid w:val="DFFACCE8"/>
    <w:rsid w:val="DFFB1D51"/>
    <w:rsid w:val="DFFBAFAA"/>
    <w:rsid w:val="DFFCD215"/>
    <w:rsid w:val="DFFE56AE"/>
    <w:rsid w:val="DFFF08B5"/>
    <w:rsid w:val="DFFF31BD"/>
    <w:rsid w:val="DFFF33DF"/>
    <w:rsid w:val="DFFF3E86"/>
    <w:rsid w:val="DFFF51E4"/>
    <w:rsid w:val="DFFF554B"/>
    <w:rsid w:val="DFFFA1CC"/>
    <w:rsid w:val="DFFFA96A"/>
    <w:rsid w:val="DFFFAC35"/>
    <w:rsid w:val="DFFFE417"/>
    <w:rsid w:val="E127B48A"/>
    <w:rsid w:val="E13F3044"/>
    <w:rsid w:val="E1BF7BA6"/>
    <w:rsid w:val="E2B6A1BE"/>
    <w:rsid w:val="E2DBF24E"/>
    <w:rsid w:val="E2ED1B93"/>
    <w:rsid w:val="E2FEE261"/>
    <w:rsid w:val="E2FF1183"/>
    <w:rsid w:val="E3B31D63"/>
    <w:rsid w:val="E3B79AC8"/>
    <w:rsid w:val="E3D9E6EB"/>
    <w:rsid w:val="E3DF6C2F"/>
    <w:rsid w:val="E3E2EA24"/>
    <w:rsid w:val="E3F7A2B0"/>
    <w:rsid w:val="E3FAB6ED"/>
    <w:rsid w:val="E3FF6804"/>
    <w:rsid w:val="E43F859B"/>
    <w:rsid w:val="E46B815B"/>
    <w:rsid w:val="E4F3BAA9"/>
    <w:rsid w:val="E4FC39E7"/>
    <w:rsid w:val="E55E16F7"/>
    <w:rsid w:val="E57EB401"/>
    <w:rsid w:val="E5AF4836"/>
    <w:rsid w:val="E5D39117"/>
    <w:rsid w:val="E5E75477"/>
    <w:rsid w:val="E5E9D5AE"/>
    <w:rsid w:val="E5F57D03"/>
    <w:rsid w:val="E5FBC261"/>
    <w:rsid w:val="E5FBF2A6"/>
    <w:rsid w:val="E5FE8BFC"/>
    <w:rsid w:val="E5FF2FC6"/>
    <w:rsid w:val="E61F4681"/>
    <w:rsid w:val="E628B9B8"/>
    <w:rsid w:val="E6370292"/>
    <w:rsid w:val="E67C8995"/>
    <w:rsid w:val="E6D30C9A"/>
    <w:rsid w:val="E6D60AB4"/>
    <w:rsid w:val="E6FB3058"/>
    <w:rsid w:val="E6FE3BB8"/>
    <w:rsid w:val="E6FE76E5"/>
    <w:rsid w:val="E71BC5BF"/>
    <w:rsid w:val="E73B8D44"/>
    <w:rsid w:val="E73FFB6D"/>
    <w:rsid w:val="E76F1C25"/>
    <w:rsid w:val="E777A948"/>
    <w:rsid w:val="E77FB087"/>
    <w:rsid w:val="E787806E"/>
    <w:rsid w:val="E7AF725A"/>
    <w:rsid w:val="E7B5353A"/>
    <w:rsid w:val="E7B82CF8"/>
    <w:rsid w:val="E7BCB482"/>
    <w:rsid w:val="E7BE75B8"/>
    <w:rsid w:val="E7BF109D"/>
    <w:rsid w:val="E7BF442D"/>
    <w:rsid w:val="E7BF7479"/>
    <w:rsid w:val="E7BF96A0"/>
    <w:rsid w:val="E7C794ED"/>
    <w:rsid w:val="E7D91C8E"/>
    <w:rsid w:val="E7DBA7A2"/>
    <w:rsid w:val="E7DD0247"/>
    <w:rsid w:val="E7DE2EDD"/>
    <w:rsid w:val="E7E26F76"/>
    <w:rsid w:val="E7E3C9E0"/>
    <w:rsid w:val="E7E63EC0"/>
    <w:rsid w:val="E7EF5E92"/>
    <w:rsid w:val="E7F397F3"/>
    <w:rsid w:val="E7F5FED5"/>
    <w:rsid w:val="E7F72F51"/>
    <w:rsid w:val="E7F94080"/>
    <w:rsid w:val="E7FBD8F1"/>
    <w:rsid w:val="E7FBEE08"/>
    <w:rsid w:val="E7FD0F81"/>
    <w:rsid w:val="E7FD91FA"/>
    <w:rsid w:val="E7FE3684"/>
    <w:rsid w:val="E7FF05F0"/>
    <w:rsid w:val="E7FF17EF"/>
    <w:rsid w:val="E7FFC666"/>
    <w:rsid w:val="E803842E"/>
    <w:rsid w:val="E87E1F1A"/>
    <w:rsid w:val="E8ED0DCC"/>
    <w:rsid w:val="E8FF2B8B"/>
    <w:rsid w:val="E95DAFCD"/>
    <w:rsid w:val="E96FB3CD"/>
    <w:rsid w:val="E99CCD36"/>
    <w:rsid w:val="E9B6A3A9"/>
    <w:rsid w:val="E9EF4EF8"/>
    <w:rsid w:val="E9F4F5E8"/>
    <w:rsid w:val="E9F6CF73"/>
    <w:rsid w:val="E9FF12B7"/>
    <w:rsid w:val="E9FF948D"/>
    <w:rsid w:val="E9FFB980"/>
    <w:rsid w:val="EA27EACA"/>
    <w:rsid w:val="EA2F3A3A"/>
    <w:rsid w:val="EAAB845C"/>
    <w:rsid w:val="EAABA54F"/>
    <w:rsid w:val="EAB6AD21"/>
    <w:rsid w:val="EABF1570"/>
    <w:rsid w:val="EABF61A5"/>
    <w:rsid w:val="EACF56F7"/>
    <w:rsid w:val="EADFE505"/>
    <w:rsid w:val="EAEF846F"/>
    <w:rsid w:val="EAF630E6"/>
    <w:rsid w:val="EAF7DE02"/>
    <w:rsid w:val="EAFCDC01"/>
    <w:rsid w:val="EAFF5576"/>
    <w:rsid w:val="EAFF577B"/>
    <w:rsid w:val="EAFF766C"/>
    <w:rsid w:val="EB63F204"/>
    <w:rsid w:val="EB6BC449"/>
    <w:rsid w:val="EB6EF78D"/>
    <w:rsid w:val="EB6FF482"/>
    <w:rsid w:val="EB7B198E"/>
    <w:rsid w:val="EB7DBD35"/>
    <w:rsid w:val="EB7E394C"/>
    <w:rsid w:val="EB7FEFD8"/>
    <w:rsid w:val="EBB731BA"/>
    <w:rsid w:val="EBB773A7"/>
    <w:rsid w:val="EBBFA814"/>
    <w:rsid w:val="EBC7703D"/>
    <w:rsid w:val="EBDB89BC"/>
    <w:rsid w:val="EBDF70C8"/>
    <w:rsid w:val="EBE7DF4E"/>
    <w:rsid w:val="EBEC0B06"/>
    <w:rsid w:val="EBF743DF"/>
    <w:rsid w:val="EBF796BB"/>
    <w:rsid w:val="EBFD2D50"/>
    <w:rsid w:val="EBFE09BD"/>
    <w:rsid w:val="EBFEA507"/>
    <w:rsid w:val="EBFEA898"/>
    <w:rsid w:val="EBFF6D41"/>
    <w:rsid w:val="EBFFC76D"/>
    <w:rsid w:val="EBFFDE00"/>
    <w:rsid w:val="EC0E8B2E"/>
    <w:rsid w:val="EC5A5E5F"/>
    <w:rsid w:val="EC731A6D"/>
    <w:rsid w:val="EC77EFDC"/>
    <w:rsid w:val="EC7D45C5"/>
    <w:rsid w:val="ECAAE316"/>
    <w:rsid w:val="ECDD9E95"/>
    <w:rsid w:val="ECDFE08D"/>
    <w:rsid w:val="ECF20B01"/>
    <w:rsid w:val="ECF38412"/>
    <w:rsid w:val="ECF76005"/>
    <w:rsid w:val="ECFBB791"/>
    <w:rsid w:val="ECFFE838"/>
    <w:rsid w:val="ED0F85BF"/>
    <w:rsid w:val="ED2E8611"/>
    <w:rsid w:val="ED43A9D9"/>
    <w:rsid w:val="ED4D5CCE"/>
    <w:rsid w:val="ED7735B0"/>
    <w:rsid w:val="ED77716C"/>
    <w:rsid w:val="ED7E9A28"/>
    <w:rsid w:val="ED7F52CC"/>
    <w:rsid w:val="ED8333EF"/>
    <w:rsid w:val="EDAD640A"/>
    <w:rsid w:val="EDAFB94A"/>
    <w:rsid w:val="EDBE6E4A"/>
    <w:rsid w:val="EDBFCEF7"/>
    <w:rsid w:val="EDDE2A52"/>
    <w:rsid w:val="EDDF7F27"/>
    <w:rsid w:val="EDDFEB8A"/>
    <w:rsid w:val="EDEF0FAF"/>
    <w:rsid w:val="EDF5A8B7"/>
    <w:rsid w:val="EDF74C18"/>
    <w:rsid w:val="EDFE7FAE"/>
    <w:rsid w:val="EDFEF3A5"/>
    <w:rsid w:val="EDFF14FC"/>
    <w:rsid w:val="EDFF3B36"/>
    <w:rsid w:val="EDFFD3B0"/>
    <w:rsid w:val="EE1EAE00"/>
    <w:rsid w:val="EE2FC266"/>
    <w:rsid w:val="EE3F3699"/>
    <w:rsid w:val="EE771314"/>
    <w:rsid w:val="EE7B0815"/>
    <w:rsid w:val="EE7E1ED3"/>
    <w:rsid w:val="EE7E93C3"/>
    <w:rsid w:val="EEBF28A6"/>
    <w:rsid w:val="EEDB0F77"/>
    <w:rsid w:val="EEDB84F4"/>
    <w:rsid w:val="EEDBE374"/>
    <w:rsid w:val="EEDD72E0"/>
    <w:rsid w:val="EEDE99D6"/>
    <w:rsid w:val="EEE77860"/>
    <w:rsid w:val="EEE7DEAF"/>
    <w:rsid w:val="EEEC29AA"/>
    <w:rsid w:val="EEEF721D"/>
    <w:rsid w:val="EEF18B01"/>
    <w:rsid w:val="EEF5D9F9"/>
    <w:rsid w:val="EEF7326A"/>
    <w:rsid w:val="EEFA79ED"/>
    <w:rsid w:val="EEFE5DDB"/>
    <w:rsid w:val="EEFF2456"/>
    <w:rsid w:val="EEFF9E68"/>
    <w:rsid w:val="EEFFCC4B"/>
    <w:rsid w:val="EEFFD9BF"/>
    <w:rsid w:val="EEFFDA09"/>
    <w:rsid w:val="EF173A64"/>
    <w:rsid w:val="EF234FE6"/>
    <w:rsid w:val="EF2BE7DF"/>
    <w:rsid w:val="EF37ABE7"/>
    <w:rsid w:val="EF3FD356"/>
    <w:rsid w:val="EF4F7867"/>
    <w:rsid w:val="EF53CCF1"/>
    <w:rsid w:val="EF56369D"/>
    <w:rsid w:val="EF57652E"/>
    <w:rsid w:val="EF5C8692"/>
    <w:rsid w:val="EF5FCFBA"/>
    <w:rsid w:val="EF6ACB08"/>
    <w:rsid w:val="EF796412"/>
    <w:rsid w:val="EF7BD89C"/>
    <w:rsid w:val="EF7F82AE"/>
    <w:rsid w:val="EF7FC471"/>
    <w:rsid w:val="EF7FE4B7"/>
    <w:rsid w:val="EF7FECAE"/>
    <w:rsid w:val="EF841B37"/>
    <w:rsid w:val="EF93D0BC"/>
    <w:rsid w:val="EF97CE6F"/>
    <w:rsid w:val="EF9F9809"/>
    <w:rsid w:val="EF9FEEE7"/>
    <w:rsid w:val="EFAC8D31"/>
    <w:rsid w:val="EFB6684D"/>
    <w:rsid w:val="EFBA191D"/>
    <w:rsid w:val="EFBB3A75"/>
    <w:rsid w:val="EFBD0205"/>
    <w:rsid w:val="EFBD2583"/>
    <w:rsid w:val="EFBE89FB"/>
    <w:rsid w:val="EFBF5B85"/>
    <w:rsid w:val="EFC58A26"/>
    <w:rsid w:val="EFCEB4FE"/>
    <w:rsid w:val="EFCFAEEE"/>
    <w:rsid w:val="EFCFBFBF"/>
    <w:rsid w:val="EFDD0521"/>
    <w:rsid w:val="EFDF312A"/>
    <w:rsid w:val="EFDF9392"/>
    <w:rsid w:val="EFE717C6"/>
    <w:rsid w:val="EFE718DA"/>
    <w:rsid w:val="EFE756C1"/>
    <w:rsid w:val="EFE7D04E"/>
    <w:rsid w:val="EFEB353F"/>
    <w:rsid w:val="EFEB7400"/>
    <w:rsid w:val="EFEBA735"/>
    <w:rsid w:val="EFECF150"/>
    <w:rsid w:val="EFED5F3D"/>
    <w:rsid w:val="EFEDA518"/>
    <w:rsid w:val="EFEE091E"/>
    <w:rsid w:val="EFEE8F0A"/>
    <w:rsid w:val="EFEF10D2"/>
    <w:rsid w:val="EFEF1A0A"/>
    <w:rsid w:val="EFF21C6B"/>
    <w:rsid w:val="EFF5ADF5"/>
    <w:rsid w:val="EFF712CB"/>
    <w:rsid w:val="EFFA61F4"/>
    <w:rsid w:val="EFFBD970"/>
    <w:rsid w:val="EFFCD662"/>
    <w:rsid w:val="EFFCEAC7"/>
    <w:rsid w:val="EFFCF1C8"/>
    <w:rsid w:val="EFFD2E44"/>
    <w:rsid w:val="EFFDAC29"/>
    <w:rsid w:val="EFFDC39D"/>
    <w:rsid w:val="EFFDE29C"/>
    <w:rsid w:val="EFFE16E8"/>
    <w:rsid w:val="EFFEB366"/>
    <w:rsid w:val="EFFF06FF"/>
    <w:rsid w:val="EFFF2317"/>
    <w:rsid w:val="EFFF4908"/>
    <w:rsid w:val="EFFF5CC8"/>
    <w:rsid w:val="EFFF70E4"/>
    <w:rsid w:val="EFFFA7A7"/>
    <w:rsid w:val="EFFFA9E4"/>
    <w:rsid w:val="EFFFC4CE"/>
    <w:rsid w:val="EFFFC5D8"/>
    <w:rsid w:val="F0E744B5"/>
    <w:rsid w:val="F10FCC63"/>
    <w:rsid w:val="F1670122"/>
    <w:rsid w:val="F1D76BC3"/>
    <w:rsid w:val="F1DECA4E"/>
    <w:rsid w:val="F1DFBE3E"/>
    <w:rsid w:val="F1EFB437"/>
    <w:rsid w:val="F1F776F0"/>
    <w:rsid w:val="F1FB66D3"/>
    <w:rsid w:val="F23FECCA"/>
    <w:rsid w:val="F27FE7F2"/>
    <w:rsid w:val="F2F5DD8F"/>
    <w:rsid w:val="F2F6B45B"/>
    <w:rsid w:val="F2FFDECE"/>
    <w:rsid w:val="F37E3B11"/>
    <w:rsid w:val="F3AF51C2"/>
    <w:rsid w:val="F3B720AA"/>
    <w:rsid w:val="F3C747B1"/>
    <w:rsid w:val="F3CF369A"/>
    <w:rsid w:val="F3EB4EB7"/>
    <w:rsid w:val="F3F68749"/>
    <w:rsid w:val="F3F7C403"/>
    <w:rsid w:val="F3F9BB5D"/>
    <w:rsid w:val="F3FBB796"/>
    <w:rsid w:val="F47E1561"/>
    <w:rsid w:val="F4B2033E"/>
    <w:rsid w:val="F4B8CB5E"/>
    <w:rsid w:val="F4D5C0F8"/>
    <w:rsid w:val="F4DF5456"/>
    <w:rsid w:val="F4FED5E0"/>
    <w:rsid w:val="F54F2A7E"/>
    <w:rsid w:val="F56FAEFE"/>
    <w:rsid w:val="F57F32C0"/>
    <w:rsid w:val="F57F5EC8"/>
    <w:rsid w:val="F59EB9A8"/>
    <w:rsid w:val="F5A78E85"/>
    <w:rsid w:val="F5AF557D"/>
    <w:rsid w:val="F5B18812"/>
    <w:rsid w:val="F5B4F0C8"/>
    <w:rsid w:val="F5B94EBE"/>
    <w:rsid w:val="F5BB3815"/>
    <w:rsid w:val="F5CBCAB7"/>
    <w:rsid w:val="F5DB8E3E"/>
    <w:rsid w:val="F5E6F265"/>
    <w:rsid w:val="F5ECC4B3"/>
    <w:rsid w:val="F5EDA692"/>
    <w:rsid w:val="F5EF621B"/>
    <w:rsid w:val="F5F50D8A"/>
    <w:rsid w:val="F5F76A91"/>
    <w:rsid w:val="F5F7C749"/>
    <w:rsid w:val="F5FAF2FC"/>
    <w:rsid w:val="F5FB27F7"/>
    <w:rsid w:val="F5FDC10E"/>
    <w:rsid w:val="F5FE12F1"/>
    <w:rsid w:val="F5FE296E"/>
    <w:rsid w:val="F5FEF3FF"/>
    <w:rsid w:val="F5FF1C2C"/>
    <w:rsid w:val="F5FF209A"/>
    <w:rsid w:val="F5FF2A44"/>
    <w:rsid w:val="F5FFD238"/>
    <w:rsid w:val="F62DD910"/>
    <w:rsid w:val="F65FFFD4"/>
    <w:rsid w:val="F675F768"/>
    <w:rsid w:val="F67B40FE"/>
    <w:rsid w:val="F67DFF6F"/>
    <w:rsid w:val="F67F69E3"/>
    <w:rsid w:val="F67FDE04"/>
    <w:rsid w:val="F6A99C97"/>
    <w:rsid w:val="F6AE6B7D"/>
    <w:rsid w:val="F6B3ED5B"/>
    <w:rsid w:val="F6BF2A6D"/>
    <w:rsid w:val="F6BFC793"/>
    <w:rsid w:val="F6BFDD53"/>
    <w:rsid w:val="F6CF16F4"/>
    <w:rsid w:val="F6DB872D"/>
    <w:rsid w:val="F6DDF5DD"/>
    <w:rsid w:val="F6DF429A"/>
    <w:rsid w:val="F6DFAE3B"/>
    <w:rsid w:val="F6DFFB65"/>
    <w:rsid w:val="F6EF0793"/>
    <w:rsid w:val="F6F1E272"/>
    <w:rsid w:val="F6F30CB9"/>
    <w:rsid w:val="F6F53673"/>
    <w:rsid w:val="F6F9060F"/>
    <w:rsid w:val="F6FC5514"/>
    <w:rsid w:val="F6FD53FF"/>
    <w:rsid w:val="F6FEA505"/>
    <w:rsid w:val="F6FF8692"/>
    <w:rsid w:val="F6FF9704"/>
    <w:rsid w:val="F6FFDDDF"/>
    <w:rsid w:val="F71CD02E"/>
    <w:rsid w:val="F71F3383"/>
    <w:rsid w:val="F737AD75"/>
    <w:rsid w:val="F73B507E"/>
    <w:rsid w:val="F73DB424"/>
    <w:rsid w:val="F73F03F8"/>
    <w:rsid w:val="F752BF23"/>
    <w:rsid w:val="F76F3EA0"/>
    <w:rsid w:val="F76FC072"/>
    <w:rsid w:val="F76FEDB7"/>
    <w:rsid w:val="F77378C1"/>
    <w:rsid w:val="F776551B"/>
    <w:rsid w:val="F77A929A"/>
    <w:rsid w:val="F77D6FB1"/>
    <w:rsid w:val="F77D855E"/>
    <w:rsid w:val="F77E2FFC"/>
    <w:rsid w:val="F77E9863"/>
    <w:rsid w:val="F77FABCE"/>
    <w:rsid w:val="F77FC90E"/>
    <w:rsid w:val="F77FE5B4"/>
    <w:rsid w:val="F78B06AB"/>
    <w:rsid w:val="F78F6FE6"/>
    <w:rsid w:val="F7963B2B"/>
    <w:rsid w:val="F7971FF3"/>
    <w:rsid w:val="F79A46FE"/>
    <w:rsid w:val="F79AB234"/>
    <w:rsid w:val="F79AC030"/>
    <w:rsid w:val="F79CEE24"/>
    <w:rsid w:val="F79F88E9"/>
    <w:rsid w:val="F7A611FF"/>
    <w:rsid w:val="F7AB82F6"/>
    <w:rsid w:val="F7B38298"/>
    <w:rsid w:val="F7B7A977"/>
    <w:rsid w:val="F7B98A2E"/>
    <w:rsid w:val="F7BB1A78"/>
    <w:rsid w:val="F7BB60E7"/>
    <w:rsid w:val="F7BBB758"/>
    <w:rsid w:val="F7BCAE38"/>
    <w:rsid w:val="F7BD318A"/>
    <w:rsid w:val="F7BD4E93"/>
    <w:rsid w:val="F7BDD3E7"/>
    <w:rsid w:val="F7BE1FF0"/>
    <w:rsid w:val="F7BEF372"/>
    <w:rsid w:val="F7BF00D1"/>
    <w:rsid w:val="F7BFADA2"/>
    <w:rsid w:val="F7C44225"/>
    <w:rsid w:val="F7C62354"/>
    <w:rsid w:val="F7C772DF"/>
    <w:rsid w:val="F7CB8BCF"/>
    <w:rsid w:val="F7CF5609"/>
    <w:rsid w:val="F7CF5FB7"/>
    <w:rsid w:val="F7CF8024"/>
    <w:rsid w:val="F7D33D0C"/>
    <w:rsid w:val="F7D4B70C"/>
    <w:rsid w:val="F7D51FEF"/>
    <w:rsid w:val="F7D5E2A9"/>
    <w:rsid w:val="F7D79D7E"/>
    <w:rsid w:val="F7D7F6AB"/>
    <w:rsid w:val="F7DB2A46"/>
    <w:rsid w:val="F7DBE889"/>
    <w:rsid w:val="F7DEC196"/>
    <w:rsid w:val="F7DEF213"/>
    <w:rsid w:val="F7DEF69C"/>
    <w:rsid w:val="F7DFADD2"/>
    <w:rsid w:val="F7DFD014"/>
    <w:rsid w:val="F7E7AB9D"/>
    <w:rsid w:val="F7EABC8B"/>
    <w:rsid w:val="F7EB0073"/>
    <w:rsid w:val="F7ECB2F8"/>
    <w:rsid w:val="F7EE34A3"/>
    <w:rsid w:val="F7EEC240"/>
    <w:rsid w:val="F7EEC602"/>
    <w:rsid w:val="F7EECBF2"/>
    <w:rsid w:val="F7EF8827"/>
    <w:rsid w:val="F7EF9068"/>
    <w:rsid w:val="F7EFAB7E"/>
    <w:rsid w:val="F7EFFA7F"/>
    <w:rsid w:val="F7F42529"/>
    <w:rsid w:val="F7F58552"/>
    <w:rsid w:val="F7F72163"/>
    <w:rsid w:val="F7F7B469"/>
    <w:rsid w:val="F7F7F187"/>
    <w:rsid w:val="F7FA907B"/>
    <w:rsid w:val="F7FB5A95"/>
    <w:rsid w:val="F7FB97D7"/>
    <w:rsid w:val="F7FDD55B"/>
    <w:rsid w:val="F7FDD5D8"/>
    <w:rsid w:val="F7FE5EB9"/>
    <w:rsid w:val="F7FEA72E"/>
    <w:rsid w:val="F7FF1FB8"/>
    <w:rsid w:val="F7FF2A52"/>
    <w:rsid w:val="F7FF655D"/>
    <w:rsid w:val="F7FF8CCC"/>
    <w:rsid w:val="F7FF9990"/>
    <w:rsid w:val="F7FF9FAB"/>
    <w:rsid w:val="F7FFE7C4"/>
    <w:rsid w:val="F7FFF8C3"/>
    <w:rsid w:val="F8599B7A"/>
    <w:rsid w:val="F8774D50"/>
    <w:rsid w:val="F8BF6EC2"/>
    <w:rsid w:val="F8DB5FBE"/>
    <w:rsid w:val="F8DCFFA1"/>
    <w:rsid w:val="F8F4C6AA"/>
    <w:rsid w:val="F8FBD2B1"/>
    <w:rsid w:val="F8FF0DCC"/>
    <w:rsid w:val="F8FFB41D"/>
    <w:rsid w:val="F91759D8"/>
    <w:rsid w:val="F92F43B2"/>
    <w:rsid w:val="F956890A"/>
    <w:rsid w:val="F963029A"/>
    <w:rsid w:val="F973B9A1"/>
    <w:rsid w:val="F97FBCA0"/>
    <w:rsid w:val="F9AB646A"/>
    <w:rsid w:val="F9AF25A9"/>
    <w:rsid w:val="F9BF3F68"/>
    <w:rsid w:val="F9C21646"/>
    <w:rsid w:val="F9C44014"/>
    <w:rsid w:val="F9CF8B37"/>
    <w:rsid w:val="F9D72F71"/>
    <w:rsid w:val="F9D9FB91"/>
    <w:rsid w:val="F9F5BD38"/>
    <w:rsid w:val="F9F5BE38"/>
    <w:rsid w:val="F9F9173A"/>
    <w:rsid w:val="F9FB77B0"/>
    <w:rsid w:val="F9FF0B35"/>
    <w:rsid w:val="F9FF5784"/>
    <w:rsid w:val="F9FFA8E6"/>
    <w:rsid w:val="F9FFEBD9"/>
    <w:rsid w:val="FA0BCEBD"/>
    <w:rsid w:val="FA2DBEDE"/>
    <w:rsid w:val="FA37BB3D"/>
    <w:rsid w:val="FA3FCE69"/>
    <w:rsid w:val="FA6D9F52"/>
    <w:rsid w:val="FA73D406"/>
    <w:rsid w:val="FA7DE818"/>
    <w:rsid w:val="FA7FCF64"/>
    <w:rsid w:val="FA96ADA8"/>
    <w:rsid w:val="FA9F464D"/>
    <w:rsid w:val="FAA96A76"/>
    <w:rsid w:val="FAB74C3E"/>
    <w:rsid w:val="FABF54D9"/>
    <w:rsid w:val="FAC76C53"/>
    <w:rsid w:val="FAC9E528"/>
    <w:rsid w:val="FACB4DEC"/>
    <w:rsid w:val="FACE37C6"/>
    <w:rsid w:val="FADDC43E"/>
    <w:rsid w:val="FAE305E7"/>
    <w:rsid w:val="FAE666F6"/>
    <w:rsid w:val="FAE669EF"/>
    <w:rsid w:val="FAE76CF6"/>
    <w:rsid w:val="FAEF303B"/>
    <w:rsid w:val="FAEF7EF4"/>
    <w:rsid w:val="FAF236A2"/>
    <w:rsid w:val="FAF2923D"/>
    <w:rsid w:val="FAF7DC04"/>
    <w:rsid w:val="FAFB7286"/>
    <w:rsid w:val="FAFD0208"/>
    <w:rsid w:val="FAFD4554"/>
    <w:rsid w:val="FAFEA1A2"/>
    <w:rsid w:val="FAFEE0EB"/>
    <w:rsid w:val="FAFFAF24"/>
    <w:rsid w:val="FAFFB2B6"/>
    <w:rsid w:val="FAFFDCC8"/>
    <w:rsid w:val="FB1E4B0F"/>
    <w:rsid w:val="FB3B4E2D"/>
    <w:rsid w:val="FB3BA77F"/>
    <w:rsid w:val="FB3BCE31"/>
    <w:rsid w:val="FB3BDA09"/>
    <w:rsid w:val="FB3E2675"/>
    <w:rsid w:val="FB536F02"/>
    <w:rsid w:val="FB5ED0DF"/>
    <w:rsid w:val="FB6634FD"/>
    <w:rsid w:val="FB6B78F0"/>
    <w:rsid w:val="FB6DD3BB"/>
    <w:rsid w:val="FB6FC6F8"/>
    <w:rsid w:val="FB705B90"/>
    <w:rsid w:val="FB7616B5"/>
    <w:rsid w:val="FB795955"/>
    <w:rsid w:val="FB7AADC6"/>
    <w:rsid w:val="FB7C859C"/>
    <w:rsid w:val="FB7D21CF"/>
    <w:rsid w:val="FB7DD5F1"/>
    <w:rsid w:val="FB7DF8F5"/>
    <w:rsid w:val="FB7E64F4"/>
    <w:rsid w:val="FB7ECEC4"/>
    <w:rsid w:val="FB7F0839"/>
    <w:rsid w:val="FB7F0AF2"/>
    <w:rsid w:val="FB7F19E7"/>
    <w:rsid w:val="FB7F3B89"/>
    <w:rsid w:val="FB7F8449"/>
    <w:rsid w:val="FB7F854D"/>
    <w:rsid w:val="FB8FFF89"/>
    <w:rsid w:val="FB975FE0"/>
    <w:rsid w:val="FB9ED5D4"/>
    <w:rsid w:val="FB9FF633"/>
    <w:rsid w:val="FBAB22EC"/>
    <w:rsid w:val="FBAC084F"/>
    <w:rsid w:val="FBAFDB1D"/>
    <w:rsid w:val="FBB17096"/>
    <w:rsid w:val="FBB56F14"/>
    <w:rsid w:val="FBB71E28"/>
    <w:rsid w:val="FBB7C3F0"/>
    <w:rsid w:val="FBBAAAF4"/>
    <w:rsid w:val="FBBCCA00"/>
    <w:rsid w:val="FBBD6D70"/>
    <w:rsid w:val="FBBF1FE1"/>
    <w:rsid w:val="FBBFF399"/>
    <w:rsid w:val="FBCF6A28"/>
    <w:rsid w:val="FBCFFFE3"/>
    <w:rsid w:val="FBD1D6B4"/>
    <w:rsid w:val="FBD48D19"/>
    <w:rsid w:val="FBDBAA79"/>
    <w:rsid w:val="FBDE935C"/>
    <w:rsid w:val="FBDED0D6"/>
    <w:rsid w:val="FBDF0055"/>
    <w:rsid w:val="FBDF659F"/>
    <w:rsid w:val="FBDF72E4"/>
    <w:rsid w:val="FBDFEEE7"/>
    <w:rsid w:val="FBDFF5E8"/>
    <w:rsid w:val="FBE7898C"/>
    <w:rsid w:val="FBE7A5A3"/>
    <w:rsid w:val="FBEB0D7E"/>
    <w:rsid w:val="FBECAF64"/>
    <w:rsid w:val="FBEF47A1"/>
    <w:rsid w:val="FBEF7A69"/>
    <w:rsid w:val="FBEF7B7A"/>
    <w:rsid w:val="FBEFB841"/>
    <w:rsid w:val="FBEFD60C"/>
    <w:rsid w:val="FBEFDB81"/>
    <w:rsid w:val="FBF3DB9C"/>
    <w:rsid w:val="FBF57988"/>
    <w:rsid w:val="FBF6FB12"/>
    <w:rsid w:val="FBF74BFC"/>
    <w:rsid w:val="FBF75102"/>
    <w:rsid w:val="FBFAF546"/>
    <w:rsid w:val="FBFB1B79"/>
    <w:rsid w:val="FBFB46CE"/>
    <w:rsid w:val="FBFB91E6"/>
    <w:rsid w:val="FBFBB9CF"/>
    <w:rsid w:val="FBFBBBA6"/>
    <w:rsid w:val="FBFBE632"/>
    <w:rsid w:val="FBFBF01C"/>
    <w:rsid w:val="FBFC3906"/>
    <w:rsid w:val="FBFD0A2A"/>
    <w:rsid w:val="FBFD9F2D"/>
    <w:rsid w:val="FBFDEA2C"/>
    <w:rsid w:val="FBFDEBD1"/>
    <w:rsid w:val="FBFDECAB"/>
    <w:rsid w:val="FBFE0E9E"/>
    <w:rsid w:val="FBFEACDC"/>
    <w:rsid w:val="FBFEE024"/>
    <w:rsid w:val="FBFF1306"/>
    <w:rsid w:val="FBFF2430"/>
    <w:rsid w:val="FBFF30D3"/>
    <w:rsid w:val="FBFF527D"/>
    <w:rsid w:val="FBFF60EB"/>
    <w:rsid w:val="FBFFAD6C"/>
    <w:rsid w:val="FBFFB093"/>
    <w:rsid w:val="FBFFB31C"/>
    <w:rsid w:val="FBFFC1C9"/>
    <w:rsid w:val="FBFFC54E"/>
    <w:rsid w:val="FBFFDA2D"/>
    <w:rsid w:val="FBFFF463"/>
    <w:rsid w:val="FC15F69D"/>
    <w:rsid w:val="FC1DF523"/>
    <w:rsid w:val="FC2FE90F"/>
    <w:rsid w:val="FC37DB6D"/>
    <w:rsid w:val="FC644DA1"/>
    <w:rsid w:val="FC6F8379"/>
    <w:rsid w:val="FC7EFA99"/>
    <w:rsid w:val="FC7F30F6"/>
    <w:rsid w:val="FC9C9519"/>
    <w:rsid w:val="FC9ECE20"/>
    <w:rsid w:val="FCAE2DFA"/>
    <w:rsid w:val="FCB390C3"/>
    <w:rsid w:val="FCB3961F"/>
    <w:rsid w:val="FCB63D9B"/>
    <w:rsid w:val="FCB6DD72"/>
    <w:rsid w:val="FCB77AA4"/>
    <w:rsid w:val="FCD6D1AD"/>
    <w:rsid w:val="FCD76ABE"/>
    <w:rsid w:val="FCD777F9"/>
    <w:rsid w:val="FCD7836F"/>
    <w:rsid w:val="FCD9A6D5"/>
    <w:rsid w:val="FCDB7DAC"/>
    <w:rsid w:val="FCDD4D28"/>
    <w:rsid w:val="FCE9E19F"/>
    <w:rsid w:val="FCEED094"/>
    <w:rsid w:val="FCFA7A9F"/>
    <w:rsid w:val="FCFB0AEF"/>
    <w:rsid w:val="FCFBB119"/>
    <w:rsid w:val="FCFE19C1"/>
    <w:rsid w:val="FCFF2495"/>
    <w:rsid w:val="FCFF9664"/>
    <w:rsid w:val="FCFFF12C"/>
    <w:rsid w:val="FD17A16C"/>
    <w:rsid w:val="FD17CA5A"/>
    <w:rsid w:val="FD1A44DF"/>
    <w:rsid w:val="FD36137D"/>
    <w:rsid w:val="FD4AAF19"/>
    <w:rsid w:val="FD4EF0F3"/>
    <w:rsid w:val="FD4F2C2E"/>
    <w:rsid w:val="FD5323DA"/>
    <w:rsid w:val="FD6FE69F"/>
    <w:rsid w:val="FD6FFD3A"/>
    <w:rsid w:val="FD797607"/>
    <w:rsid w:val="FD7C63B3"/>
    <w:rsid w:val="FD7E13E8"/>
    <w:rsid w:val="FD7F1690"/>
    <w:rsid w:val="FD7F9BC2"/>
    <w:rsid w:val="FD8FD540"/>
    <w:rsid w:val="FD943DF2"/>
    <w:rsid w:val="FD9D5A13"/>
    <w:rsid w:val="FD9FC909"/>
    <w:rsid w:val="FDA4D0AC"/>
    <w:rsid w:val="FDABAFDD"/>
    <w:rsid w:val="FDB1E949"/>
    <w:rsid w:val="FDB50B25"/>
    <w:rsid w:val="FDB59184"/>
    <w:rsid w:val="FDB6C22A"/>
    <w:rsid w:val="FDBB4C84"/>
    <w:rsid w:val="FDC25B20"/>
    <w:rsid w:val="FDCF2B82"/>
    <w:rsid w:val="FDD418E6"/>
    <w:rsid w:val="FDD712A0"/>
    <w:rsid w:val="FDD89BCA"/>
    <w:rsid w:val="FDD903A3"/>
    <w:rsid w:val="FDDB12E6"/>
    <w:rsid w:val="FDDB41DC"/>
    <w:rsid w:val="FDDB852D"/>
    <w:rsid w:val="FDDB895F"/>
    <w:rsid w:val="FDDBFE5A"/>
    <w:rsid w:val="FDDC5620"/>
    <w:rsid w:val="FDDF1609"/>
    <w:rsid w:val="FDE45B11"/>
    <w:rsid w:val="FDE5E4C7"/>
    <w:rsid w:val="FDE7AA69"/>
    <w:rsid w:val="FDE7C3D0"/>
    <w:rsid w:val="FDE9CC9A"/>
    <w:rsid w:val="FDEA700A"/>
    <w:rsid w:val="FDEBCCFC"/>
    <w:rsid w:val="FDED8B4E"/>
    <w:rsid w:val="FDEEA760"/>
    <w:rsid w:val="FDEED92F"/>
    <w:rsid w:val="FDEEE322"/>
    <w:rsid w:val="FDEF0220"/>
    <w:rsid w:val="FDEF4BB6"/>
    <w:rsid w:val="FDEF9E39"/>
    <w:rsid w:val="FDEFB646"/>
    <w:rsid w:val="FDEFE284"/>
    <w:rsid w:val="FDF1B689"/>
    <w:rsid w:val="FDF63741"/>
    <w:rsid w:val="FDF6D34E"/>
    <w:rsid w:val="FDF70462"/>
    <w:rsid w:val="FDF741C0"/>
    <w:rsid w:val="FDF7C8E8"/>
    <w:rsid w:val="FDF7D956"/>
    <w:rsid w:val="FDF84A5C"/>
    <w:rsid w:val="FDF8FCB1"/>
    <w:rsid w:val="FDFA1366"/>
    <w:rsid w:val="FDFAA3C1"/>
    <w:rsid w:val="FDFB3E86"/>
    <w:rsid w:val="FDFB6E2E"/>
    <w:rsid w:val="FDFB7EBC"/>
    <w:rsid w:val="FDFBB5A6"/>
    <w:rsid w:val="FDFBBD7E"/>
    <w:rsid w:val="FDFD0F48"/>
    <w:rsid w:val="FDFE1477"/>
    <w:rsid w:val="FDFEA075"/>
    <w:rsid w:val="FDFEBEFD"/>
    <w:rsid w:val="FDFEE7AC"/>
    <w:rsid w:val="FDFF51CF"/>
    <w:rsid w:val="FDFF707F"/>
    <w:rsid w:val="FDFFC99A"/>
    <w:rsid w:val="FDFFD78A"/>
    <w:rsid w:val="FE0F51CB"/>
    <w:rsid w:val="FE2D92D4"/>
    <w:rsid w:val="FE3C52CB"/>
    <w:rsid w:val="FE3F117B"/>
    <w:rsid w:val="FE3F89DF"/>
    <w:rsid w:val="FE4B85D3"/>
    <w:rsid w:val="FE533030"/>
    <w:rsid w:val="FE56D721"/>
    <w:rsid w:val="FE5963C7"/>
    <w:rsid w:val="FE6A51D7"/>
    <w:rsid w:val="FE6F115F"/>
    <w:rsid w:val="FE766C28"/>
    <w:rsid w:val="FE77452C"/>
    <w:rsid w:val="FE79E2D0"/>
    <w:rsid w:val="FE7D9F9F"/>
    <w:rsid w:val="FE7DCEC4"/>
    <w:rsid w:val="FE7DDEA0"/>
    <w:rsid w:val="FE7F8237"/>
    <w:rsid w:val="FE91BEF1"/>
    <w:rsid w:val="FE9F3756"/>
    <w:rsid w:val="FEA14F82"/>
    <w:rsid w:val="FEA82593"/>
    <w:rsid w:val="FEA82798"/>
    <w:rsid w:val="FEAE4481"/>
    <w:rsid w:val="FEB34C20"/>
    <w:rsid w:val="FEB3729D"/>
    <w:rsid w:val="FEB60730"/>
    <w:rsid w:val="FEBA8726"/>
    <w:rsid w:val="FEBADC5B"/>
    <w:rsid w:val="FEBD8EE3"/>
    <w:rsid w:val="FEBDD3B4"/>
    <w:rsid w:val="FEBDE629"/>
    <w:rsid w:val="FEBDE867"/>
    <w:rsid w:val="FEBDFAB9"/>
    <w:rsid w:val="FEBE9D82"/>
    <w:rsid w:val="FEBEF29B"/>
    <w:rsid w:val="FECF2E02"/>
    <w:rsid w:val="FECFD601"/>
    <w:rsid w:val="FED57219"/>
    <w:rsid w:val="FED69B3C"/>
    <w:rsid w:val="FEDC9189"/>
    <w:rsid w:val="FEDD51E6"/>
    <w:rsid w:val="FEDEBDC4"/>
    <w:rsid w:val="FEDF4B54"/>
    <w:rsid w:val="FEDF6326"/>
    <w:rsid w:val="FEDFBDAA"/>
    <w:rsid w:val="FEE7126D"/>
    <w:rsid w:val="FEEB8E91"/>
    <w:rsid w:val="FEEBABE3"/>
    <w:rsid w:val="FEEF18BA"/>
    <w:rsid w:val="FEEFDBBA"/>
    <w:rsid w:val="FEEFF5AC"/>
    <w:rsid w:val="FEEFF976"/>
    <w:rsid w:val="FEF2179A"/>
    <w:rsid w:val="FEF253F7"/>
    <w:rsid w:val="FEF49384"/>
    <w:rsid w:val="FEF5FE88"/>
    <w:rsid w:val="FEF61717"/>
    <w:rsid w:val="FEF703C9"/>
    <w:rsid w:val="FEF7245E"/>
    <w:rsid w:val="FEF78076"/>
    <w:rsid w:val="FEF7D8E8"/>
    <w:rsid w:val="FEF904B0"/>
    <w:rsid w:val="FEF93618"/>
    <w:rsid w:val="FEFB0443"/>
    <w:rsid w:val="FEFB1089"/>
    <w:rsid w:val="FEFB3631"/>
    <w:rsid w:val="FEFC5C7C"/>
    <w:rsid w:val="FEFDFA99"/>
    <w:rsid w:val="FEFE2E86"/>
    <w:rsid w:val="FEFE5D5C"/>
    <w:rsid w:val="FEFF2AE3"/>
    <w:rsid w:val="FEFF43DD"/>
    <w:rsid w:val="FEFF5103"/>
    <w:rsid w:val="FEFF6277"/>
    <w:rsid w:val="FEFF8767"/>
    <w:rsid w:val="FEFF9D25"/>
    <w:rsid w:val="FEFFCF97"/>
    <w:rsid w:val="FEFFDAE0"/>
    <w:rsid w:val="FEFFF54E"/>
    <w:rsid w:val="FF070C94"/>
    <w:rsid w:val="FF13418D"/>
    <w:rsid w:val="FF1B77DF"/>
    <w:rsid w:val="FF1B93D9"/>
    <w:rsid w:val="FF1BEE25"/>
    <w:rsid w:val="FF1C956B"/>
    <w:rsid w:val="FF274969"/>
    <w:rsid w:val="FF27ECDC"/>
    <w:rsid w:val="FF2A1F5B"/>
    <w:rsid w:val="FF2C13C4"/>
    <w:rsid w:val="FF2C253D"/>
    <w:rsid w:val="FF2E9F6A"/>
    <w:rsid w:val="FF33412C"/>
    <w:rsid w:val="FF36A87C"/>
    <w:rsid w:val="FF378086"/>
    <w:rsid w:val="FF3A691B"/>
    <w:rsid w:val="FF3D246F"/>
    <w:rsid w:val="FF3DA085"/>
    <w:rsid w:val="FF3F7215"/>
    <w:rsid w:val="FF3FB717"/>
    <w:rsid w:val="FF3FF871"/>
    <w:rsid w:val="FF472570"/>
    <w:rsid w:val="FF476FF4"/>
    <w:rsid w:val="FF47D443"/>
    <w:rsid w:val="FF4DF94C"/>
    <w:rsid w:val="FF579EA9"/>
    <w:rsid w:val="FF57DC88"/>
    <w:rsid w:val="FF5B473F"/>
    <w:rsid w:val="FF5BF673"/>
    <w:rsid w:val="FF5CC81C"/>
    <w:rsid w:val="FF5E4D8A"/>
    <w:rsid w:val="FF5EC59C"/>
    <w:rsid w:val="FF5F0822"/>
    <w:rsid w:val="FF5F436D"/>
    <w:rsid w:val="FF5F68E6"/>
    <w:rsid w:val="FF5FB633"/>
    <w:rsid w:val="FF67F375"/>
    <w:rsid w:val="FF6B30FC"/>
    <w:rsid w:val="FF6DFB22"/>
    <w:rsid w:val="FF74785C"/>
    <w:rsid w:val="FF761E75"/>
    <w:rsid w:val="FF79ACE8"/>
    <w:rsid w:val="FF7A2AEC"/>
    <w:rsid w:val="FF7AAD40"/>
    <w:rsid w:val="FF7AED5A"/>
    <w:rsid w:val="FF7B3B4F"/>
    <w:rsid w:val="FF7B3F97"/>
    <w:rsid w:val="FF7BAE17"/>
    <w:rsid w:val="FF7DB398"/>
    <w:rsid w:val="FF7F0998"/>
    <w:rsid w:val="FF7F1056"/>
    <w:rsid w:val="FF7F2239"/>
    <w:rsid w:val="FF7F7F22"/>
    <w:rsid w:val="FF7FCBF5"/>
    <w:rsid w:val="FF7FD010"/>
    <w:rsid w:val="FF7FD5D6"/>
    <w:rsid w:val="FF7FF414"/>
    <w:rsid w:val="FF8640C6"/>
    <w:rsid w:val="FF8CF121"/>
    <w:rsid w:val="FF8DC28A"/>
    <w:rsid w:val="FF9168D6"/>
    <w:rsid w:val="FF95E8DB"/>
    <w:rsid w:val="FF99B8A2"/>
    <w:rsid w:val="FF9B0678"/>
    <w:rsid w:val="FF9D3A58"/>
    <w:rsid w:val="FF9DC631"/>
    <w:rsid w:val="FF9E3885"/>
    <w:rsid w:val="FF9F165A"/>
    <w:rsid w:val="FF9F30F3"/>
    <w:rsid w:val="FF9F8B08"/>
    <w:rsid w:val="FF9FB932"/>
    <w:rsid w:val="FFA3BAD7"/>
    <w:rsid w:val="FFA3EEF2"/>
    <w:rsid w:val="FFA535EB"/>
    <w:rsid w:val="FFA5F719"/>
    <w:rsid w:val="FFA97692"/>
    <w:rsid w:val="FFAD50F4"/>
    <w:rsid w:val="FFAE3A12"/>
    <w:rsid w:val="FFAE7230"/>
    <w:rsid w:val="FFAF04A8"/>
    <w:rsid w:val="FFB3DAF0"/>
    <w:rsid w:val="FFB3F46B"/>
    <w:rsid w:val="FFB5F3DB"/>
    <w:rsid w:val="FFB60D40"/>
    <w:rsid w:val="FFB74917"/>
    <w:rsid w:val="FFB75D45"/>
    <w:rsid w:val="FFB7B1C8"/>
    <w:rsid w:val="FFB96E04"/>
    <w:rsid w:val="FFBB1BA7"/>
    <w:rsid w:val="FFBB63AD"/>
    <w:rsid w:val="FFBB69EA"/>
    <w:rsid w:val="FFBBCD9F"/>
    <w:rsid w:val="FFBBD653"/>
    <w:rsid w:val="FFBBEE4C"/>
    <w:rsid w:val="FFBC2DB5"/>
    <w:rsid w:val="FFBC53A9"/>
    <w:rsid w:val="FFBC6268"/>
    <w:rsid w:val="FFBD0FE4"/>
    <w:rsid w:val="FFBD3D22"/>
    <w:rsid w:val="FFBD53B2"/>
    <w:rsid w:val="FFBD6A3D"/>
    <w:rsid w:val="FFBD72EF"/>
    <w:rsid w:val="FFBDDD0E"/>
    <w:rsid w:val="FFBE2665"/>
    <w:rsid w:val="FFBE32EB"/>
    <w:rsid w:val="FFBE39F3"/>
    <w:rsid w:val="FFBE9355"/>
    <w:rsid w:val="FFBE96FD"/>
    <w:rsid w:val="FFBEE2E4"/>
    <w:rsid w:val="FFBF16EB"/>
    <w:rsid w:val="FFBF1C8E"/>
    <w:rsid w:val="FFBF1F83"/>
    <w:rsid w:val="FFBF3BF7"/>
    <w:rsid w:val="FFBF5B31"/>
    <w:rsid w:val="FFBF6A63"/>
    <w:rsid w:val="FFBF6D45"/>
    <w:rsid w:val="FFBFA8DB"/>
    <w:rsid w:val="FFBFCE42"/>
    <w:rsid w:val="FFBFD330"/>
    <w:rsid w:val="FFBFEC59"/>
    <w:rsid w:val="FFBFF1A2"/>
    <w:rsid w:val="FFC17FEE"/>
    <w:rsid w:val="FFC36C3B"/>
    <w:rsid w:val="FFC56699"/>
    <w:rsid w:val="FFC76A9F"/>
    <w:rsid w:val="FFC77A4B"/>
    <w:rsid w:val="FFCE3D37"/>
    <w:rsid w:val="FFCF1F41"/>
    <w:rsid w:val="FFD3F5F8"/>
    <w:rsid w:val="FFD484FC"/>
    <w:rsid w:val="FFD5413A"/>
    <w:rsid w:val="FFD7027E"/>
    <w:rsid w:val="FFD7480F"/>
    <w:rsid w:val="FFD7BBA2"/>
    <w:rsid w:val="FFD7D35B"/>
    <w:rsid w:val="FFD93C22"/>
    <w:rsid w:val="FFDA20F8"/>
    <w:rsid w:val="FFDB15DB"/>
    <w:rsid w:val="FFDB2541"/>
    <w:rsid w:val="FFDB91A0"/>
    <w:rsid w:val="FFDB9BED"/>
    <w:rsid w:val="FFDBDADF"/>
    <w:rsid w:val="FFDC422A"/>
    <w:rsid w:val="FFDD20C3"/>
    <w:rsid w:val="FFDE0E2C"/>
    <w:rsid w:val="FFDEEFE5"/>
    <w:rsid w:val="FFDF1A0F"/>
    <w:rsid w:val="FFDF3699"/>
    <w:rsid w:val="FFDF802A"/>
    <w:rsid w:val="FFDFA95A"/>
    <w:rsid w:val="FFDFA95C"/>
    <w:rsid w:val="FFDFC441"/>
    <w:rsid w:val="FFDFE447"/>
    <w:rsid w:val="FFDFF8B3"/>
    <w:rsid w:val="FFE32974"/>
    <w:rsid w:val="FFE365C7"/>
    <w:rsid w:val="FFE515C7"/>
    <w:rsid w:val="FFE54296"/>
    <w:rsid w:val="FFE5AE1F"/>
    <w:rsid w:val="FFE7CF8F"/>
    <w:rsid w:val="FFE843D7"/>
    <w:rsid w:val="FFEA5B38"/>
    <w:rsid w:val="FFEB40AC"/>
    <w:rsid w:val="FFEB658C"/>
    <w:rsid w:val="FFEB9013"/>
    <w:rsid w:val="FFEBE97A"/>
    <w:rsid w:val="FFED139E"/>
    <w:rsid w:val="FFEECF2D"/>
    <w:rsid w:val="FFEED06E"/>
    <w:rsid w:val="FFEF01CE"/>
    <w:rsid w:val="FFEF0747"/>
    <w:rsid w:val="FFEF1394"/>
    <w:rsid w:val="FFEF13F7"/>
    <w:rsid w:val="FFEF1EA1"/>
    <w:rsid w:val="FFEF4010"/>
    <w:rsid w:val="FFEF6D22"/>
    <w:rsid w:val="FFEF99BA"/>
    <w:rsid w:val="FFEFAC38"/>
    <w:rsid w:val="FFEFB0F2"/>
    <w:rsid w:val="FFEFD890"/>
    <w:rsid w:val="FFEFE511"/>
    <w:rsid w:val="FFF1ADE5"/>
    <w:rsid w:val="FFF324A5"/>
    <w:rsid w:val="FFF33168"/>
    <w:rsid w:val="FFF331F8"/>
    <w:rsid w:val="FFF50A86"/>
    <w:rsid w:val="FFF55F65"/>
    <w:rsid w:val="FFF5E82D"/>
    <w:rsid w:val="FFF60A1C"/>
    <w:rsid w:val="FFF675CC"/>
    <w:rsid w:val="FFF73CAE"/>
    <w:rsid w:val="FFF74613"/>
    <w:rsid w:val="FFF79FDF"/>
    <w:rsid w:val="FFF7A9EF"/>
    <w:rsid w:val="FFF7DB40"/>
    <w:rsid w:val="FFF7FF44"/>
    <w:rsid w:val="FFF9D750"/>
    <w:rsid w:val="FFF9F35D"/>
    <w:rsid w:val="FFFA3612"/>
    <w:rsid w:val="FFFAC972"/>
    <w:rsid w:val="FFFB2FD9"/>
    <w:rsid w:val="FFFB41D0"/>
    <w:rsid w:val="FFFB4C5A"/>
    <w:rsid w:val="FFFB4C69"/>
    <w:rsid w:val="FFFB6563"/>
    <w:rsid w:val="FFFB666E"/>
    <w:rsid w:val="FFFB8217"/>
    <w:rsid w:val="FFFB8EFA"/>
    <w:rsid w:val="FFFB969F"/>
    <w:rsid w:val="FFFBA082"/>
    <w:rsid w:val="FFFBD8E2"/>
    <w:rsid w:val="FFFC2623"/>
    <w:rsid w:val="FFFC2D66"/>
    <w:rsid w:val="FFFD31BA"/>
    <w:rsid w:val="FFFD32E6"/>
    <w:rsid w:val="FFFD3B9C"/>
    <w:rsid w:val="FFFD9017"/>
    <w:rsid w:val="FFFDFBF6"/>
    <w:rsid w:val="FFFE038E"/>
    <w:rsid w:val="FFFE201B"/>
    <w:rsid w:val="FFFE3AF5"/>
    <w:rsid w:val="FFFE42BE"/>
    <w:rsid w:val="FFFE4637"/>
    <w:rsid w:val="FFFE4670"/>
    <w:rsid w:val="FFFE5B89"/>
    <w:rsid w:val="FFFE6E04"/>
    <w:rsid w:val="FFFE7137"/>
    <w:rsid w:val="FFFE7ED5"/>
    <w:rsid w:val="FFFE9013"/>
    <w:rsid w:val="FFFEAE79"/>
    <w:rsid w:val="FFFED972"/>
    <w:rsid w:val="FFFEF483"/>
    <w:rsid w:val="FFFEF545"/>
    <w:rsid w:val="FFFF0D23"/>
    <w:rsid w:val="FFFF0FC1"/>
    <w:rsid w:val="FFFF1528"/>
    <w:rsid w:val="FFFF194E"/>
    <w:rsid w:val="FFFF2143"/>
    <w:rsid w:val="FFFF462F"/>
    <w:rsid w:val="FFFF511B"/>
    <w:rsid w:val="FFFF595D"/>
    <w:rsid w:val="FFFF5D32"/>
    <w:rsid w:val="FFFF631B"/>
    <w:rsid w:val="FFFF7267"/>
    <w:rsid w:val="FFFF809D"/>
    <w:rsid w:val="FFFFA7AB"/>
    <w:rsid w:val="FFFFA916"/>
    <w:rsid w:val="FFFFC960"/>
    <w:rsid w:val="FFFFCF15"/>
    <w:rsid w:val="FFFFD590"/>
    <w:rsid w:val="FFFFE4CF"/>
    <w:rsid w:val="FFFFE692"/>
    <w:rsid w:val="FFFFF84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outlineLvl w:val="0"/>
    </w:pPr>
    <w:rPr>
      <w:b/>
      <w:kern w:val="44"/>
      <w:sz w:val="36"/>
    </w:rPr>
  </w:style>
  <w:style w:type="paragraph" w:styleId="3">
    <w:name w:val="heading 2"/>
    <w:basedOn w:val="1"/>
    <w:next w:val="4"/>
    <w:link w:val="23"/>
    <w:unhideWhenUsed/>
    <w:qFormat/>
    <w:uiPriority w:val="0"/>
    <w:pPr>
      <w:keepNext/>
      <w:keepLines/>
      <w:outlineLvl w:val="1"/>
    </w:pPr>
    <w:rPr>
      <w:b/>
      <w:sz w:val="32"/>
    </w:rPr>
  </w:style>
  <w:style w:type="paragraph" w:styleId="6">
    <w:name w:val="heading 3"/>
    <w:basedOn w:val="1"/>
    <w:next w:val="1"/>
    <w:link w:val="28"/>
    <w:unhideWhenUsed/>
    <w:qFormat/>
    <w:uiPriority w:val="0"/>
    <w:pPr>
      <w:keepNext/>
      <w:keepLines/>
      <w:ind w:left="420" w:leftChars="200"/>
      <w:outlineLvl w:val="2"/>
    </w:pPr>
    <w:rPr>
      <w:rFonts w:eastAsia="Heiti SC Medium"/>
      <w:b/>
      <w:sz w:val="30"/>
    </w:rPr>
  </w:style>
  <w:style w:type="paragraph" w:styleId="7">
    <w:name w:val="heading 4"/>
    <w:basedOn w:val="1"/>
    <w:next w:val="1"/>
    <w:unhideWhenUsed/>
    <w:qFormat/>
    <w:uiPriority w:val="0"/>
    <w:pPr>
      <w:keepNext/>
      <w:keepLines/>
      <w:outlineLvl w:val="3"/>
    </w:pPr>
    <w:rPr>
      <w:b/>
      <w:sz w:val="28"/>
    </w:rPr>
  </w:style>
  <w:style w:type="paragraph" w:styleId="8">
    <w:name w:val="heading 5"/>
    <w:basedOn w:val="1"/>
    <w:next w:val="1"/>
    <w:unhideWhenUsed/>
    <w:qFormat/>
    <w:uiPriority w:val="0"/>
    <w:pPr>
      <w:keepNext/>
      <w:keepLines/>
      <w:outlineLvl w:val="4"/>
    </w:pPr>
    <w:rPr>
      <w:b/>
      <w:sz w:val="28"/>
    </w:rPr>
  </w:style>
  <w:style w:type="paragraph" w:styleId="9">
    <w:name w:val="heading 6"/>
    <w:basedOn w:val="1"/>
    <w:next w:val="1"/>
    <w:unhideWhenUsed/>
    <w:qFormat/>
    <w:uiPriority w:val="0"/>
    <w:pPr>
      <w:keepNext/>
      <w:keepLines/>
      <w:outlineLvl w:val="5"/>
    </w:pPr>
    <w:rPr>
      <w:b/>
      <w:sz w:val="24"/>
    </w:rPr>
  </w:style>
  <w:style w:type="paragraph" w:styleId="10">
    <w:name w:val="heading 7"/>
    <w:basedOn w:val="1"/>
    <w:next w:val="1"/>
    <w:unhideWhenUsed/>
    <w:qFormat/>
    <w:uiPriority w:val="0"/>
    <w:pPr>
      <w:keepNext/>
      <w:keepLines/>
      <w:outlineLvl w:val="6"/>
    </w:pPr>
    <w:rPr>
      <w:b/>
      <w:sz w:val="24"/>
    </w:rPr>
  </w:style>
  <w:style w:type="paragraph" w:styleId="11">
    <w:name w:val="heading 8"/>
    <w:basedOn w:val="1"/>
    <w:next w:val="1"/>
    <w:unhideWhenUsed/>
    <w:qFormat/>
    <w:uiPriority w:val="0"/>
    <w:pPr>
      <w:keepNext/>
      <w:keepLines/>
      <w:outlineLvl w:val="7"/>
    </w:pPr>
    <w:rPr>
      <w:sz w:val="24"/>
    </w:rPr>
  </w:style>
  <w:style w:type="paragraph" w:styleId="12">
    <w:name w:val="heading 9"/>
    <w:basedOn w:val="1"/>
    <w:next w:val="1"/>
    <w:unhideWhenUsed/>
    <w:qFormat/>
    <w:uiPriority w:val="0"/>
    <w:pPr>
      <w:keepNext/>
      <w:keepLines/>
      <w:outlineLvl w:val="8"/>
    </w:p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Body Text First Indent"/>
    <w:basedOn w:val="5"/>
    <w:link w:val="24"/>
    <w:qFormat/>
    <w:uiPriority w:val="0"/>
    <w:pPr>
      <w:adjustRightInd w:val="0"/>
      <w:snapToGrid w:val="0"/>
      <w:spacing w:line="640" w:lineRule="exact"/>
      <w:ind w:firstLine="420"/>
      <w:textAlignment w:val="baseline"/>
    </w:pPr>
    <w:rPr>
      <w:rFonts w:ascii="宋体" w:hAnsi="宋体" w:eastAsia="仿宋"/>
      <w:sz w:val="30"/>
    </w:rPr>
  </w:style>
  <w:style w:type="paragraph" w:styleId="5">
    <w:name w:val="Body Text"/>
    <w:basedOn w:val="1"/>
    <w:qFormat/>
    <w:uiPriority w:val="0"/>
    <w:pPr>
      <w:spacing w:line="360" w:lineRule="auto"/>
      <w:ind w:firstLine="880" w:firstLineChars="200"/>
    </w:pPr>
    <w:rPr>
      <w:rFonts w:ascii="华文仿宋" w:hAnsi="华文仿宋" w:eastAsia="华文仿宋"/>
      <w:sz w:val="28"/>
    </w:rPr>
  </w:style>
  <w:style w:type="paragraph" w:styleId="13">
    <w:name w:val="annotation text"/>
    <w:basedOn w:val="1"/>
    <w:qFormat/>
    <w:uiPriority w:val="0"/>
    <w:pPr>
      <w:jc w:val="left"/>
    </w:pPr>
  </w:style>
  <w:style w:type="paragraph" w:styleId="14">
    <w:name w:val="Balloon Text"/>
    <w:basedOn w:val="1"/>
    <w:link w:val="29"/>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Normal (Web)"/>
    <w:basedOn w:val="1"/>
    <w:qFormat/>
    <w:uiPriority w:val="0"/>
    <w:rPr>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paragraph" w:customStyle="1" w:styleId="22">
    <w:name w:val="文章标题"/>
    <w:next w:val="1"/>
    <w:qFormat/>
    <w:uiPriority w:val="0"/>
    <w:pPr>
      <w:spacing w:before="390" w:after="120" w:line="634" w:lineRule="exact"/>
      <w:ind w:left="420" w:hanging="420"/>
      <w:jc w:val="center"/>
      <w:outlineLvl w:val="0"/>
    </w:pPr>
    <w:rPr>
      <w:rFonts w:ascii="微软雅黑" w:hAnsi="微软雅黑" w:eastAsia="方正小标宋_GBK" w:cstheme="minorBidi"/>
      <w:b/>
      <w:sz w:val="48"/>
      <w:lang w:val="en-US" w:eastAsia="zh-CN" w:bidi="ar-SA"/>
    </w:rPr>
  </w:style>
  <w:style w:type="character" w:customStyle="1" w:styleId="23">
    <w:name w:val="标题 2 Char"/>
    <w:basedOn w:val="20"/>
    <w:link w:val="3"/>
    <w:qFormat/>
    <w:uiPriority w:val="0"/>
    <w:rPr>
      <w:rFonts w:ascii="Arial" w:hAnsi="Arial" w:eastAsia="微软雅黑"/>
      <w:b/>
      <w:kern w:val="2"/>
      <w:sz w:val="32"/>
      <w:szCs w:val="24"/>
    </w:rPr>
  </w:style>
  <w:style w:type="character" w:customStyle="1" w:styleId="24">
    <w:name w:val="正文首行缩进 Char"/>
    <w:link w:val="4"/>
    <w:qFormat/>
    <w:uiPriority w:val="0"/>
    <w:rPr>
      <w:rFonts w:ascii="宋体" w:hAnsi="宋体" w:eastAsia="仿宋" w:cs="Times New Roman"/>
      <w:sz w:val="30"/>
    </w:rPr>
  </w:style>
  <w:style w:type="character" w:customStyle="1" w:styleId="25">
    <w:name w:val="font31"/>
    <w:basedOn w:val="20"/>
    <w:qFormat/>
    <w:uiPriority w:val="0"/>
    <w:rPr>
      <w:rFonts w:hint="default" w:ascii="微软雅黑" w:hAnsi="微软雅黑" w:eastAsia="微软雅黑" w:cs="微软雅黑"/>
      <w:color w:val="000000"/>
      <w:sz w:val="20"/>
      <w:szCs w:val="20"/>
      <w:u w:val="none"/>
    </w:rPr>
  </w:style>
  <w:style w:type="character" w:customStyle="1" w:styleId="26">
    <w:name w:val="font51"/>
    <w:basedOn w:val="20"/>
    <w:qFormat/>
    <w:uiPriority w:val="0"/>
    <w:rPr>
      <w:rFonts w:hint="default" w:ascii="微软雅黑" w:hAnsi="微软雅黑" w:eastAsia="微软雅黑" w:cs="微软雅黑"/>
      <w:color w:val="000000"/>
      <w:sz w:val="20"/>
      <w:szCs w:val="20"/>
      <w:u w:val="single"/>
    </w:rPr>
  </w:style>
  <w:style w:type="character" w:customStyle="1" w:styleId="27">
    <w:name w:val="font41"/>
    <w:basedOn w:val="20"/>
    <w:qFormat/>
    <w:uiPriority w:val="0"/>
    <w:rPr>
      <w:rFonts w:hint="default" w:ascii="微软雅黑" w:hAnsi="微软雅黑" w:eastAsia="微软雅黑" w:cs="微软雅黑"/>
      <w:color w:val="FF0000"/>
      <w:sz w:val="20"/>
      <w:szCs w:val="20"/>
      <w:u w:val="none"/>
    </w:rPr>
  </w:style>
  <w:style w:type="character" w:customStyle="1" w:styleId="28">
    <w:name w:val="标题 3 Char"/>
    <w:basedOn w:val="20"/>
    <w:link w:val="6"/>
    <w:qFormat/>
    <w:uiPriority w:val="0"/>
    <w:rPr>
      <w:rFonts w:ascii="Arial" w:hAnsi="Arial" w:eastAsia="Heiti SC Medium"/>
      <w:b/>
      <w:kern w:val="2"/>
      <w:sz w:val="30"/>
      <w:szCs w:val="24"/>
    </w:rPr>
  </w:style>
  <w:style w:type="character" w:customStyle="1" w:styleId="29">
    <w:name w:val="批注框文本 Char"/>
    <w:basedOn w:val="20"/>
    <w:link w:val="14"/>
    <w:qFormat/>
    <w:uiPriority w:val="0"/>
    <w:rPr>
      <w:rFonts w:ascii="Arial" w:hAnsi="Arial" w:eastAsia="微软雅黑"/>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F2A5B9-D263-487B-BCB1-0DFEEA877E3E}">
  <ds:schemaRefs/>
</ds:datastoreItem>
</file>

<file path=docProps/app.xml><?xml version="1.0" encoding="utf-8"?>
<Properties xmlns="http://schemas.openxmlformats.org/officeDocument/2006/extended-properties" xmlns:vt="http://schemas.openxmlformats.org/officeDocument/2006/docPropsVTypes">
  <Template>Normal</Template>
  <Pages>54</Pages>
  <Words>17695</Words>
  <Characters>19033</Characters>
  <Lines>240</Lines>
  <Paragraphs>67</Paragraphs>
  <TotalTime>29</TotalTime>
  <ScaleCrop>false</ScaleCrop>
  <LinksUpToDate>false</LinksUpToDate>
  <CharactersWithSpaces>19165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2018-06-06T17:24:00Z</dcterms:created>
  <dc:creator>Data</dc:creator>
  <cp:lastModifiedBy>Xu</cp:lastModifiedBy>
  <dcterms:modified xsi:type="dcterms:W3CDTF">2025-07-24T02:09:08Z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EE880957FD524E0F9095CB736DB194AA_13</vt:lpwstr>
  </property>
  <property fmtid="{D5CDD505-2E9C-101B-9397-08002B2CF9AE}" pid="6" name="KSOTemplateDocerSaveRecord">
    <vt:lpwstr>eyJoZGlkIjoiMTY1YWVmYzMxYjIzYmE5ZmIyMGEyMDE4MDBjNjAxNzciLCJ1c2VySWQiOiIxMTIyODMxNDk5In0=</vt:lpwstr>
  </property>
</Properties>
</file>