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Theme="majorEastAsia" w:hAnsiTheme="majorEastAsia" w:eastAsiaTheme="majorEastAsia" w:cstheme="majorEastAsia"/>
          <w:b w:val="0"/>
          <w:bCs/>
          <w:sz w:val="32"/>
          <w:szCs w:val="32"/>
          <w:lang w:eastAsia="zh-CN"/>
        </w:rPr>
      </w:pPr>
      <w:r>
        <w:rPr>
          <w:rFonts w:hint="eastAsia" w:asciiTheme="majorEastAsia" w:hAnsiTheme="majorEastAsia" w:eastAsiaTheme="majorEastAsia" w:cstheme="majorEastAsia"/>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heme="majorEastAsia" w:hAnsiTheme="majorEastAsia" w:eastAsiaTheme="majorEastAsia" w:cstheme="majorEastAsia"/>
          <w:b/>
          <w:bCs w:val="0"/>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rPr>
        <w:t>陕西省工程造价咨询</w:t>
      </w:r>
      <w:r>
        <w:rPr>
          <w:rFonts w:hint="eastAsia" w:asciiTheme="majorEastAsia" w:hAnsiTheme="majorEastAsia" w:eastAsiaTheme="majorEastAsia" w:cstheme="majorEastAsia"/>
          <w:b/>
          <w:bCs w:val="0"/>
          <w:sz w:val="44"/>
          <w:szCs w:val="44"/>
          <w:lang w:val="en-US" w:eastAsia="zh-CN"/>
        </w:rPr>
        <w:t>先进企业和30强企业评价暂行办法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3213" w:firstLineChars="1000"/>
        <w:jc w:val="both"/>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第一章</w:t>
      </w:r>
      <w:r>
        <w:rPr>
          <w:rFonts w:hint="eastAsia" w:ascii="黑体" w:hAnsi="黑体" w:eastAsia="黑体" w:cs="黑体"/>
          <w:b/>
          <w:sz w:val="32"/>
          <w:szCs w:val="32"/>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eastAsia" w:ascii="仿宋" w:hAnsi="仿宋" w:eastAsia="仿宋"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第一条  为了认真贯彻落实《国务院办公厅关于促进建筑业持续健康发展的意见》（国办发〔2017〕19号）文件精神，引导工程造价咨询企业创新发展、融合发展，加快转型升级步伐，鼓励、支持工程造价咨询企业</w:t>
      </w:r>
      <w:r>
        <w:rPr>
          <w:rFonts w:hint="eastAsia" w:ascii="仿宋" w:hAnsi="仿宋" w:eastAsia="仿宋" w:cs="仿宋"/>
          <w:sz w:val="32"/>
          <w:szCs w:val="32"/>
          <w:lang w:val="en-US" w:eastAsia="zh-CN"/>
        </w:rPr>
        <w:t>深入</w:t>
      </w:r>
      <w:r>
        <w:rPr>
          <w:rFonts w:hint="eastAsia" w:ascii="仿宋" w:hAnsi="仿宋" w:eastAsia="仿宋" w:cs="仿宋"/>
          <w:sz w:val="32"/>
          <w:szCs w:val="32"/>
        </w:rPr>
        <w:t>实施品牌战略，大力</w:t>
      </w:r>
      <w:r>
        <w:rPr>
          <w:rFonts w:hint="eastAsia" w:ascii="仿宋" w:hAnsi="仿宋" w:eastAsia="仿宋" w:cs="仿宋"/>
          <w:sz w:val="32"/>
          <w:szCs w:val="32"/>
          <w:lang w:val="en-US" w:eastAsia="zh-CN"/>
        </w:rPr>
        <w:t>开展</w:t>
      </w:r>
      <w:r>
        <w:rPr>
          <w:rFonts w:hint="eastAsia" w:ascii="仿宋" w:hAnsi="仿宋" w:eastAsia="仿宋" w:cs="仿宋"/>
          <w:sz w:val="32"/>
          <w:szCs w:val="32"/>
        </w:rPr>
        <w:t>创建品牌企业</w:t>
      </w:r>
      <w:r>
        <w:rPr>
          <w:rFonts w:hint="eastAsia" w:ascii="仿宋" w:hAnsi="仿宋" w:eastAsia="仿宋" w:cs="仿宋"/>
          <w:sz w:val="32"/>
          <w:szCs w:val="32"/>
          <w:lang w:val="en-US" w:eastAsia="zh-CN"/>
        </w:rPr>
        <w:t>与先进企业活动</w:t>
      </w:r>
      <w:r>
        <w:rPr>
          <w:rFonts w:hint="eastAsia" w:ascii="仿宋" w:hAnsi="仿宋" w:eastAsia="仿宋" w:cs="仿宋"/>
          <w:sz w:val="32"/>
          <w:szCs w:val="32"/>
        </w:rPr>
        <w:t>，着力打造行业龙头企业，树立陕西省工程造价咨询</w:t>
      </w:r>
      <w:r>
        <w:rPr>
          <w:rFonts w:hint="eastAsia" w:ascii="仿宋" w:hAnsi="仿宋" w:eastAsia="仿宋" w:cs="仿宋"/>
          <w:sz w:val="32"/>
          <w:szCs w:val="32"/>
          <w:lang w:val="en-US" w:eastAsia="zh-CN"/>
        </w:rPr>
        <w:t>行</w:t>
      </w:r>
      <w:r>
        <w:rPr>
          <w:rFonts w:hint="eastAsia" w:ascii="仿宋" w:hAnsi="仿宋" w:eastAsia="仿宋" w:cs="仿宋"/>
          <w:sz w:val="32"/>
          <w:szCs w:val="32"/>
        </w:rPr>
        <w:t>业的整体品牌形象，根据有关法律、法规、规章制定本办法。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第二条  本办法所称陕西省工程造价咨询</w:t>
      </w:r>
      <w:r>
        <w:rPr>
          <w:rFonts w:hint="eastAsia" w:ascii="仿宋" w:hAnsi="仿宋" w:eastAsia="仿宋" w:cs="仿宋"/>
          <w:sz w:val="32"/>
          <w:szCs w:val="32"/>
          <w:lang w:val="en-US" w:eastAsia="zh-CN"/>
        </w:rPr>
        <w:t>先进</w:t>
      </w:r>
      <w:r>
        <w:rPr>
          <w:rFonts w:hint="eastAsia" w:ascii="仿宋" w:hAnsi="仿宋" w:eastAsia="仿宋" w:cs="仿宋"/>
          <w:sz w:val="32"/>
          <w:szCs w:val="32"/>
        </w:rPr>
        <w:t>企业（以下简称</w:t>
      </w:r>
      <w:r>
        <w:rPr>
          <w:rFonts w:hint="eastAsia" w:ascii="仿宋" w:hAnsi="仿宋" w:eastAsia="仿宋" w:cs="仿宋"/>
          <w:sz w:val="32"/>
          <w:szCs w:val="32"/>
          <w:lang w:val="en-US" w:eastAsia="zh-CN"/>
        </w:rPr>
        <w:t>先进</w:t>
      </w:r>
      <w:r>
        <w:rPr>
          <w:rFonts w:hint="eastAsia" w:ascii="仿宋" w:hAnsi="仿宋" w:eastAsia="仿宋" w:cs="仿宋"/>
          <w:sz w:val="32"/>
          <w:szCs w:val="32"/>
        </w:rPr>
        <w:t>企业）</w:t>
      </w:r>
      <w:r>
        <w:rPr>
          <w:rFonts w:hint="eastAsia" w:ascii="仿宋" w:hAnsi="仿宋" w:eastAsia="仿宋" w:cs="仿宋"/>
          <w:sz w:val="32"/>
          <w:szCs w:val="32"/>
          <w:lang w:eastAsia="zh-CN"/>
        </w:rPr>
        <w:t>，</w:t>
      </w:r>
      <w:r>
        <w:rPr>
          <w:rFonts w:hint="eastAsia" w:ascii="仿宋" w:hAnsi="仿宋" w:eastAsia="仿宋" w:cs="仿宋"/>
          <w:sz w:val="32"/>
          <w:szCs w:val="32"/>
        </w:rPr>
        <w:t>是指由企业自愿申报、评价</w:t>
      </w:r>
      <w:r>
        <w:rPr>
          <w:rFonts w:hint="eastAsia" w:ascii="仿宋" w:hAnsi="仿宋" w:eastAsia="仿宋" w:cs="仿宋"/>
          <w:sz w:val="32"/>
          <w:szCs w:val="32"/>
          <w:lang w:val="en-US" w:eastAsia="zh-CN"/>
        </w:rPr>
        <w:t>机构依据本</w:t>
      </w:r>
      <w:r>
        <w:rPr>
          <w:rFonts w:hint="eastAsia" w:ascii="仿宋" w:hAnsi="仿宋" w:eastAsia="仿宋" w:cs="仿宋"/>
          <w:sz w:val="32"/>
          <w:szCs w:val="32"/>
        </w:rPr>
        <w:t>评价</w:t>
      </w:r>
      <w:r>
        <w:rPr>
          <w:rFonts w:hint="eastAsia" w:ascii="仿宋" w:hAnsi="仿宋" w:eastAsia="仿宋" w:cs="仿宋"/>
          <w:sz w:val="32"/>
          <w:szCs w:val="32"/>
          <w:lang w:val="en-US" w:eastAsia="zh-CN"/>
        </w:rPr>
        <w:t>办法评价、认定的</w:t>
      </w:r>
      <w:r>
        <w:rPr>
          <w:rFonts w:hint="eastAsia" w:ascii="仿宋" w:hAnsi="仿宋" w:eastAsia="仿宋" w:cs="仿宋"/>
          <w:sz w:val="32"/>
          <w:szCs w:val="32"/>
        </w:rPr>
        <w:t>的企业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陕西省工程造价咨询30强企业（以下简称30强企业），是指先进企业中综合业绩处于前30名的企业。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第三条  本办法所称评价机构，是指评价活动的组织领导机构和具体评价工作机构。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条  本办法适用于注册地在陕西省行政区域内的主营工程造价咨询和工程招标代理业务的会员企业。兼营工程造价咨询并取得工程造价咨询资质的会员企业，以及兼营工程招标代理的会员企业，也适用本办法。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鼓励非会员单位履行入会手续后参加评价活动。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五</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先进企业与</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0强企业评价活动每</w:t>
      </w:r>
      <w:r>
        <w:rPr>
          <w:rFonts w:hint="eastAsia" w:ascii="仿宋" w:hAnsi="仿宋" w:eastAsia="仿宋" w:cs="仿宋"/>
          <w:sz w:val="32"/>
          <w:szCs w:val="32"/>
          <w:lang w:val="en-US" w:eastAsia="zh-CN"/>
        </w:rPr>
        <w:t>两</w:t>
      </w:r>
      <w:r>
        <w:rPr>
          <w:rFonts w:hint="eastAsia" w:ascii="仿宋" w:hAnsi="仿宋" w:eastAsia="仿宋" w:cs="仿宋"/>
          <w:sz w:val="32"/>
          <w:szCs w:val="32"/>
        </w:rPr>
        <w:t>年进行一次。</w:t>
      </w:r>
      <w:r>
        <w:rPr>
          <w:rFonts w:hint="eastAsia" w:ascii="仿宋" w:hAnsi="仿宋" w:eastAsia="仿宋" w:cs="仿宋"/>
          <w:sz w:val="32"/>
          <w:szCs w:val="32"/>
          <w:lang w:val="en-US" w:eastAsia="zh-CN"/>
        </w:rPr>
        <w:t>每一次评价的当年，</w:t>
      </w:r>
      <w:r>
        <w:rPr>
          <w:rFonts w:hint="eastAsia" w:ascii="仿宋" w:hAnsi="仿宋" w:eastAsia="仿宋" w:cs="仿宋"/>
          <w:sz w:val="32"/>
          <w:szCs w:val="32"/>
        </w:rPr>
        <w:t>企业完成年度统计报告后，至迟在一季度末</w:t>
      </w:r>
      <w:r>
        <w:rPr>
          <w:rFonts w:hint="eastAsia" w:ascii="仿宋" w:hAnsi="仿宋" w:eastAsia="仿宋" w:cs="仿宋"/>
          <w:sz w:val="32"/>
          <w:szCs w:val="32"/>
          <w:lang w:eastAsia="zh-CN"/>
        </w:rPr>
        <w:t>，</w:t>
      </w:r>
      <w:r>
        <w:rPr>
          <w:rFonts w:hint="eastAsia" w:ascii="仿宋" w:hAnsi="仿宋" w:eastAsia="仿宋" w:cs="仿宋"/>
          <w:sz w:val="32"/>
          <w:szCs w:val="32"/>
        </w:rPr>
        <w:t>申报</w:t>
      </w:r>
      <w:r>
        <w:rPr>
          <w:rFonts w:hint="eastAsia" w:ascii="仿宋" w:hAnsi="仿宋" w:eastAsia="仿宋" w:cs="仿宋"/>
          <w:sz w:val="32"/>
          <w:szCs w:val="32"/>
          <w:lang w:val="en-US" w:eastAsia="zh-CN"/>
        </w:rPr>
        <w:t>评价期内两个年度的</w:t>
      </w:r>
      <w:r>
        <w:rPr>
          <w:rFonts w:hint="eastAsia" w:ascii="仿宋" w:hAnsi="仿宋" w:eastAsia="仿宋" w:cs="仿宋"/>
          <w:sz w:val="32"/>
          <w:szCs w:val="32"/>
        </w:rPr>
        <w:t>企业评价资料。评价工作应当在上半年完成并发布评价结果。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先进企业和30强企业评价实行“一套评价办法和评价标准、一套企业申报资料、一套评价结果、两套荣誉榜单”。先进企业榜单包括全部30强企业，30强企业榜单只是先进企业中的前30名。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第七条  每一评价期先进企业的数量，按工程造价咨询行业企业总数的百分之三十确定；30强企业数量，在不同的评价期皆为固定数，以彰显品牌形象、品牌价值。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0强企业评价结果由评价领导机构发布。评价结果</w:t>
      </w:r>
      <w:r>
        <w:rPr>
          <w:rFonts w:hint="eastAsia" w:ascii="仿宋" w:hAnsi="仿宋" w:eastAsia="仿宋" w:cs="仿宋"/>
          <w:sz w:val="32"/>
          <w:szCs w:val="32"/>
          <w:lang w:val="en-US" w:eastAsia="zh-CN"/>
        </w:rPr>
        <w:t>为企业品牌价值的体现，</w:t>
      </w:r>
      <w:r>
        <w:rPr>
          <w:rFonts w:hint="eastAsia" w:ascii="仿宋" w:hAnsi="仿宋" w:eastAsia="仿宋" w:cs="仿宋"/>
          <w:sz w:val="32"/>
          <w:szCs w:val="32"/>
        </w:rPr>
        <w:t>可用于企业承接业务、</w:t>
      </w:r>
      <w:r>
        <w:rPr>
          <w:rFonts w:hint="eastAsia" w:ascii="仿宋" w:hAnsi="仿宋" w:eastAsia="仿宋" w:cs="仿宋"/>
          <w:sz w:val="32"/>
          <w:szCs w:val="32"/>
          <w:lang w:val="en-US" w:eastAsia="zh-CN"/>
        </w:rPr>
        <w:t>广告</w:t>
      </w:r>
      <w:r>
        <w:rPr>
          <w:rFonts w:hint="eastAsia" w:ascii="仿宋" w:hAnsi="仿宋" w:eastAsia="仿宋" w:cs="仿宋"/>
          <w:sz w:val="32"/>
          <w:szCs w:val="32"/>
        </w:rPr>
        <w:t>宣传</w:t>
      </w:r>
      <w:r>
        <w:rPr>
          <w:rFonts w:hint="eastAsia" w:ascii="仿宋" w:hAnsi="仿宋" w:eastAsia="仿宋" w:cs="仿宋"/>
          <w:sz w:val="32"/>
          <w:szCs w:val="32"/>
          <w:lang w:eastAsia="zh-CN"/>
        </w:rPr>
        <w:t>；</w:t>
      </w:r>
      <w:r>
        <w:rPr>
          <w:rFonts w:hint="eastAsia" w:ascii="仿宋" w:hAnsi="仿宋" w:eastAsia="仿宋" w:cs="仿宋"/>
          <w:sz w:val="32"/>
          <w:szCs w:val="32"/>
        </w:rPr>
        <w:t>并可</w:t>
      </w:r>
      <w:r>
        <w:rPr>
          <w:rFonts w:hint="eastAsia" w:ascii="仿宋" w:hAnsi="仿宋" w:eastAsia="仿宋" w:cs="仿宋"/>
          <w:sz w:val="32"/>
          <w:szCs w:val="32"/>
          <w:lang w:val="en-US" w:eastAsia="zh-CN"/>
        </w:rPr>
        <w:t>推荐给</w:t>
      </w:r>
      <w:r>
        <w:rPr>
          <w:rFonts w:hint="eastAsia" w:ascii="仿宋" w:hAnsi="仿宋" w:eastAsia="仿宋" w:cs="仿宋"/>
          <w:sz w:val="32"/>
          <w:szCs w:val="32"/>
        </w:rPr>
        <w:t>社会市场主体</w:t>
      </w:r>
      <w:r>
        <w:rPr>
          <w:rFonts w:hint="eastAsia" w:ascii="仿宋" w:hAnsi="仿宋" w:eastAsia="仿宋" w:cs="仿宋"/>
          <w:sz w:val="32"/>
          <w:szCs w:val="32"/>
          <w:lang w:eastAsia="zh-CN"/>
        </w:rPr>
        <w:t>，</w:t>
      </w:r>
      <w:r>
        <w:rPr>
          <w:rFonts w:hint="eastAsia" w:ascii="仿宋" w:hAnsi="仿宋" w:eastAsia="仿宋" w:cs="仿宋"/>
          <w:sz w:val="32"/>
          <w:szCs w:val="32"/>
        </w:rPr>
        <w:t>在委托工程造价咨询业务时</w:t>
      </w:r>
      <w:r>
        <w:rPr>
          <w:rFonts w:hint="eastAsia" w:ascii="仿宋" w:hAnsi="仿宋" w:eastAsia="仿宋" w:cs="仿宋"/>
          <w:sz w:val="32"/>
          <w:szCs w:val="32"/>
          <w:lang w:val="en-US" w:eastAsia="zh-CN"/>
        </w:rPr>
        <w:t>作为</w:t>
      </w:r>
      <w:r>
        <w:rPr>
          <w:rFonts w:hint="eastAsia" w:ascii="仿宋" w:hAnsi="仿宋" w:eastAsia="仿宋" w:cs="仿宋"/>
          <w:sz w:val="32"/>
          <w:szCs w:val="32"/>
        </w:rPr>
        <w:t>评</w:t>
      </w:r>
      <w:r>
        <w:rPr>
          <w:rFonts w:hint="eastAsia" w:ascii="仿宋" w:hAnsi="仿宋" w:eastAsia="仿宋" w:cs="仿宋"/>
          <w:sz w:val="32"/>
          <w:szCs w:val="32"/>
          <w:lang w:val="en-US" w:eastAsia="zh-CN"/>
        </w:rPr>
        <w:t>判</w:t>
      </w:r>
      <w:r>
        <w:rPr>
          <w:rFonts w:hint="eastAsia" w:ascii="仿宋" w:hAnsi="仿宋" w:eastAsia="仿宋" w:cs="仿宋"/>
          <w:sz w:val="32"/>
          <w:szCs w:val="32"/>
        </w:rPr>
        <w:t>指标</w:t>
      </w:r>
      <w:r>
        <w:rPr>
          <w:rFonts w:hint="eastAsia" w:ascii="仿宋" w:hAnsi="仿宋" w:eastAsia="仿宋" w:cs="仿宋"/>
          <w:sz w:val="32"/>
          <w:szCs w:val="32"/>
          <w:lang w:val="en-US" w:eastAsia="zh-CN"/>
        </w:rPr>
        <w:t>之一</w:t>
      </w:r>
      <w:r>
        <w:rPr>
          <w:rFonts w:hint="eastAsia" w:ascii="仿宋" w:hAnsi="仿宋" w:eastAsia="仿宋" w:cs="仿宋"/>
          <w:sz w:val="32"/>
          <w:szCs w:val="32"/>
          <w:lang w:eastAsia="zh-CN"/>
        </w:rPr>
        <w:t>；</w:t>
      </w:r>
      <w:r>
        <w:rPr>
          <w:rFonts w:hint="eastAsia" w:ascii="仿宋" w:hAnsi="仿宋" w:eastAsia="仿宋" w:cs="仿宋"/>
          <w:sz w:val="32"/>
          <w:szCs w:val="32"/>
        </w:rPr>
        <w:t>也可作为其他评价活动的参考依据。</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仿宋" w:hAnsi="仿宋" w:eastAsia="仿宋"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 xml:space="preserve"> 评价原则、依据与评价机构</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0强企业评价应当遵循下列基本原则：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1、企业自愿参加的原则；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2、公开、公平、公正与科学、严谨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合理</w:t>
      </w:r>
      <w:r>
        <w:rPr>
          <w:rFonts w:hint="eastAsia" w:ascii="仿宋" w:hAnsi="仿宋" w:eastAsia="仿宋" w:cs="仿宋"/>
          <w:sz w:val="32"/>
          <w:szCs w:val="32"/>
        </w:rPr>
        <w:t>的原则；</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3、企业申报评价资料的真实性，由企业</w:t>
      </w:r>
      <w:r>
        <w:rPr>
          <w:rFonts w:hint="eastAsia" w:ascii="仿宋" w:hAnsi="仿宋" w:eastAsia="仿宋" w:cs="仿宋"/>
          <w:sz w:val="32"/>
          <w:szCs w:val="32"/>
          <w:lang w:val="en-US" w:eastAsia="zh-CN"/>
        </w:rPr>
        <w:t>承诺</w:t>
      </w:r>
      <w:r>
        <w:rPr>
          <w:rFonts w:hint="eastAsia" w:ascii="仿宋" w:hAnsi="仿宋" w:eastAsia="仿宋" w:cs="仿宋"/>
          <w:sz w:val="32"/>
          <w:szCs w:val="32"/>
        </w:rPr>
        <w:t>负责的原则；</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4、企业申报评价资料</w:t>
      </w:r>
      <w:r>
        <w:rPr>
          <w:rFonts w:hint="eastAsia" w:ascii="仿宋" w:hAnsi="仿宋" w:eastAsia="仿宋" w:cs="仿宋"/>
          <w:sz w:val="32"/>
          <w:szCs w:val="32"/>
          <w:lang w:val="en-US" w:eastAsia="zh-CN"/>
        </w:rPr>
        <w:t>若</w:t>
      </w:r>
      <w:r>
        <w:rPr>
          <w:rFonts w:hint="eastAsia" w:ascii="仿宋" w:hAnsi="仿宋" w:eastAsia="仿宋" w:cs="仿宋"/>
          <w:sz w:val="32"/>
          <w:szCs w:val="32"/>
        </w:rPr>
        <w:t>弄虚作假，</w:t>
      </w:r>
      <w:r>
        <w:rPr>
          <w:rFonts w:hint="eastAsia" w:ascii="仿宋" w:hAnsi="仿宋" w:eastAsia="仿宋" w:cs="仿宋"/>
          <w:sz w:val="32"/>
          <w:szCs w:val="32"/>
          <w:lang w:val="en-US" w:eastAsia="zh-CN"/>
        </w:rPr>
        <w:t>则</w:t>
      </w:r>
      <w:r>
        <w:rPr>
          <w:rFonts w:hint="eastAsia" w:ascii="仿宋" w:hAnsi="仿宋" w:eastAsia="仿宋" w:cs="仿宋"/>
          <w:sz w:val="32"/>
          <w:szCs w:val="32"/>
        </w:rPr>
        <w:t>必须接受评价领导机构处罚的原则。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0强企业评价的依据：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1、国家和省级相关法律、法规、规章与技术标准、规范、规程；</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2、本办法；</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3、企业如实申报的评价资料；</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4、市（不含县级市）以上住房和城乡建设部门的行政表彰与行政处罚（含不良行为的记录）；</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5、省级以上</w:t>
      </w:r>
      <w:r>
        <w:rPr>
          <w:rFonts w:hint="eastAsia" w:ascii="仿宋" w:hAnsi="仿宋" w:eastAsia="仿宋" w:cs="仿宋"/>
          <w:sz w:val="32"/>
          <w:szCs w:val="32"/>
          <w:lang w:val="en-US" w:eastAsia="zh-CN"/>
        </w:rPr>
        <w:t>造价</w:t>
      </w:r>
      <w:r>
        <w:rPr>
          <w:rFonts w:hint="eastAsia" w:ascii="仿宋" w:hAnsi="仿宋" w:eastAsia="仿宋" w:cs="仿宋"/>
          <w:sz w:val="32"/>
          <w:szCs w:val="32"/>
        </w:rPr>
        <w:t>协会的表彰与自律性处罚（含不良行为记录）。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十一</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w:t>
      </w:r>
      <w:r>
        <w:rPr>
          <w:rFonts w:hint="eastAsia" w:ascii="仿宋" w:hAnsi="仿宋" w:eastAsia="仿宋" w:cs="仿宋"/>
          <w:sz w:val="32"/>
          <w:szCs w:val="32"/>
          <w:lang w:val="en-US" w:eastAsia="zh-CN"/>
        </w:rPr>
        <w:t>的</w:t>
      </w:r>
      <w:r>
        <w:rPr>
          <w:rFonts w:hint="eastAsia" w:ascii="仿宋" w:hAnsi="仿宋" w:eastAsia="仿宋" w:cs="仿宋"/>
          <w:sz w:val="32"/>
          <w:szCs w:val="32"/>
        </w:rPr>
        <w:t>评价</w:t>
      </w:r>
      <w:r>
        <w:rPr>
          <w:rFonts w:hint="eastAsia" w:ascii="仿宋" w:hAnsi="仿宋" w:eastAsia="仿宋" w:cs="仿宋"/>
          <w:sz w:val="32"/>
          <w:szCs w:val="32"/>
          <w:lang w:eastAsia="zh-CN"/>
        </w:rPr>
        <w:t>，</w:t>
      </w:r>
      <w:r>
        <w:rPr>
          <w:rFonts w:hint="eastAsia" w:ascii="仿宋" w:hAnsi="仿宋" w:eastAsia="仿宋" w:cs="仿宋"/>
          <w:sz w:val="32"/>
          <w:szCs w:val="32"/>
        </w:rPr>
        <w:t>由陕西省建设工程造价管理协会</w:t>
      </w:r>
      <w:r>
        <w:rPr>
          <w:rFonts w:hint="eastAsia" w:ascii="仿宋" w:hAnsi="仿宋" w:eastAsia="仿宋" w:cs="仿宋"/>
          <w:sz w:val="32"/>
          <w:szCs w:val="32"/>
          <w:lang w:val="en-US" w:eastAsia="zh-CN"/>
        </w:rPr>
        <w:t>组织领导</w:t>
      </w:r>
      <w:r>
        <w:rPr>
          <w:rFonts w:hint="eastAsia" w:ascii="仿宋" w:hAnsi="仿宋" w:eastAsia="仿宋" w:cs="仿宋"/>
          <w:sz w:val="32"/>
          <w:szCs w:val="32"/>
        </w:rPr>
        <w:t>，</w:t>
      </w:r>
      <w:r>
        <w:rPr>
          <w:rFonts w:hint="eastAsia" w:ascii="仿宋" w:hAnsi="仿宋" w:eastAsia="仿宋" w:cs="仿宋"/>
          <w:sz w:val="32"/>
          <w:szCs w:val="32"/>
          <w:lang w:val="en-US" w:eastAsia="zh-CN"/>
        </w:rPr>
        <w:t>并设立评价办公室。评价</w:t>
      </w:r>
      <w:r>
        <w:rPr>
          <w:rFonts w:hint="eastAsia" w:ascii="仿宋" w:hAnsi="仿宋" w:eastAsia="仿宋" w:cs="仿宋"/>
          <w:sz w:val="32"/>
          <w:szCs w:val="32"/>
        </w:rPr>
        <w:t>办公室设在协会行业管理部，办公室主任由协会分管行业管理部的副会长兼任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副主任由协会副秘书长和行业管理部部长兼任</w:t>
      </w:r>
      <w:r>
        <w:rPr>
          <w:rFonts w:hint="eastAsia" w:ascii="仿宋" w:hAnsi="仿宋" w:eastAsia="仿宋" w:cs="仿宋"/>
          <w:sz w:val="32"/>
          <w:szCs w:val="32"/>
        </w:rPr>
        <w:t>。评价</w:t>
      </w:r>
      <w:r>
        <w:rPr>
          <w:rFonts w:hint="eastAsia" w:ascii="仿宋" w:hAnsi="仿宋" w:eastAsia="仿宋" w:cs="仿宋"/>
          <w:sz w:val="32"/>
          <w:szCs w:val="32"/>
          <w:lang w:val="en-US" w:eastAsia="zh-CN"/>
        </w:rPr>
        <w:t>活动组织领导机构</w:t>
      </w:r>
      <w:r>
        <w:rPr>
          <w:rFonts w:hint="eastAsia" w:ascii="仿宋" w:hAnsi="仿宋" w:eastAsia="仿宋" w:cs="仿宋"/>
          <w:sz w:val="32"/>
          <w:szCs w:val="32"/>
        </w:rPr>
        <w:t>的职责：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1、研究制定（修订）评价办法；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2、部署评价工作；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3、确定评价</w:t>
      </w:r>
      <w:r>
        <w:rPr>
          <w:rFonts w:hint="eastAsia" w:ascii="仿宋" w:hAnsi="仿宋" w:eastAsia="仿宋" w:cs="仿宋"/>
          <w:sz w:val="32"/>
          <w:szCs w:val="32"/>
          <w:lang w:val="en-US" w:eastAsia="zh-CN"/>
        </w:rPr>
        <w:t>工作机构的</w:t>
      </w:r>
      <w:r>
        <w:rPr>
          <w:rFonts w:hint="eastAsia" w:ascii="仿宋" w:hAnsi="仿宋" w:eastAsia="仿宋" w:cs="仿宋"/>
          <w:sz w:val="32"/>
          <w:szCs w:val="32"/>
        </w:rPr>
        <w:t>组成人员；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4、认定、发布评价结果，审核、发布</w:t>
      </w:r>
      <w:r>
        <w:rPr>
          <w:rFonts w:hint="eastAsia" w:ascii="仿宋" w:hAnsi="仿宋" w:eastAsia="仿宋" w:cs="仿宋"/>
          <w:sz w:val="32"/>
          <w:szCs w:val="32"/>
          <w:lang w:val="en-US" w:eastAsia="zh-CN"/>
        </w:rPr>
        <w:t>每一评价期先进企业和3</w:t>
      </w:r>
      <w:r>
        <w:rPr>
          <w:rFonts w:hint="eastAsia" w:ascii="仿宋" w:hAnsi="仿宋" w:eastAsia="仿宋" w:cs="仿宋"/>
          <w:sz w:val="32"/>
          <w:szCs w:val="32"/>
        </w:rPr>
        <w:t>0强企业发展报告；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5、监督评价过程，接受社会监督。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十二</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0强企业评价的具体工作由评价委员会负责。评价委员会的</w:t>
      </w:r>
      <w:r>
        <w:rPr>
          <w:rFonts w:hint="eastAsia" w:ascii="仿宋" w:hAnsi="仿宋" w:eastAsia="仿宋" w:cs="仿宋"/>
          <w:sz w:val="32"/>
          <w:szCs w:val="32"/>
          <w:lang w:val="en-US" w:eastAsia="zh-CN"/>
        </w:rPr>
        <w:t>组成应当遵循“精干、高效、公正、廉洁”的原则，</w:t>
      </w:r>
      <w:r>
        <w:rPr>
          <w:rFonts w:hint="eastAsia" w:ascii="仿宋" w:hAnsi="仿宋" w:eastAsia="仿宋" w:cs="仿宋"/>
          <w:sz w:val="32"/>
          <w:szCs w:val="32"/>
        </w:rPr>
        <w:t>成员由陕西省建设工程造价管理专家委员会的专家和参评企业的代表以及协会工作人员共同组成。专家的人数不得少于评价委员会组成人员总数的三分之一。评价委员会</w:t>
      </w:r>
      <w:r>
        <w:rPr>
          <w:rFonts w:hint="eastAsia" w:ascii="仿宋" w:hAnsi="仿宋" w:eastAsia="仿宋" w:cs="仿宋"/>
          <w:sz w:val="32"/>
          <w:szCs w:val="32"/>
          <w:lang w:val="en-US" w:eastAsia="zh-CN"/>
        </w:rPr>
        <w:t>在</w:t>
      </w:r>
      <w:r>
        <w:rPr>
          <w:rFonts w:hint="eastAsia" w:ascii="仿宋" w:hAnsi="仿宋" w:eastAsia="仿宋" w:cs="仿宋"/>
          <w:sz w:val="32"/>
          <w:szCs w:val="32"/>
        </w:rPr>
        <w:t>每一评价</w:t>
      </w:r>
      <w:r>
        <w:rPr>
          <w:rFonts w:hint="eastAsia" w:ascii="仿宋" w:hAnsi="仿宋" w:eastAsia="仿宋" w:cs="仿宋"/>
          <w:sz w:val="32"/>
          <w:szCs w:val="32"/>
          <w:lang w:val="en-US" w:eastAsia="zh-CN"/>
        </w:rPr>
        <w:t>期</w:t>
      </w:r>
      <w:r>
        <w:rPr>
          <w:rFonts w:hint="eastAsia" w:ascii="仿宋" w:hAnsi="仿宋" w:eastAsia="仿宋" w:cs="仿宋"/>
          <w:sz w:val="32"/>
          <w:szCs w:val="32"/>
        </w:rPr>
        <w:t>组建一次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评价委员对其职责范围内的评价工作负责</w:t>
      </w:r>
      <w:r>
        <w:rPr>
          <w:rFonts w:hint="eastAsia" w:ascii="仿宋" w:hAnsi="仿宋" w:eastAsia="仿宋" w:cs="仿宋"/>
          <w:sz w:val="32"/>
          <w:szCs w:val="32"/>
        </w:rPr>
        <w:t>。</w:t>
      </w:r>
      <w:r>
        <w:rPr>
          <w:rFonts w:hint="eastAsia" w:ascii="仿宋" w:hAnsi="仿宋" w:eastAsia="仿宋" w:cs="仿宋"/>
          <w:sz w:val="32"/>
          <w:szCs w:val="32"/>
          <w:lang w:val="en-US" w:eastAsia="zh-CN"/>
        </w:rPr>
        <w:t>评价委员会中企业代表的产生，另行规定。</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仿宋" w:hAnsi="仿宋" w:eastAsia="仿宋"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eastAsia" w:ascii="黑体" w:hAnsi="黑体" w:eastAsia="黑体" w:cs="黑体"/>
          <w:b/>
          <w:sz w:val="32"/>
          <w:szCs w:val="32"/>
        </w:rPr>
      </w:pPr>
      <w:r>
        <w:rPr>
          <w:rFonts w:hint="eastAsia" w:ascii="黑体" w:hAnsi="黑体" w:eastAsia="黑体" w:cs="黑体"/>
          <w:b/>
          <w:sz w:val="32"/>
          <w:szCs w:val="32"/>
        </w:rPr>
        <w:t xml:space="preserve"> 评价标准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jc w:val="both"/>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0强企业评价实行分层次的多指标体系评价。评价指标体系分为一级指标和二级指标，二级指标可分为若干</w:t>
      </w:r>
      <w:r>
        <w:rPr>
          <w:rFonts w:hint="eastAsia" w:ascii="仿宋" w:hAnsi="仿宋" w:eastAsia="仿宋" w:cs="仿宋"/>
          <w:sz w:val="32"/>
          <w:szCs w:val="32"/>
          <w:lang w:val="en-US" w:eastAsia="zh-CN"/>
        </w:rPr>
        <w:t>计分</w:t>
      </w:r>
      <w:r>
        <w:rPr>
          <w:rFonts w:hint="eastAsia" w:ascii="仿宋" w:hAnsi="仿宋" w:eastAsia="仿宋" w:cs="仿宋"/>
          <w:sz w:val="32"/>
          <w:szCs w:val="32"/>
        </w:rPr>
        <w:t>子项。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四</w:t>
      </w:r>
      <w:r>
        <w:rPr>
          <w:rFonts w:hint="eastAsia" w:ascii="仿宋" w:hAnsi="仿宋" w:eastAsia="仿宋" w:cs="仿宋"/>
          <w:sz w:val="32"/>
          <w:szCs w:val="32"/>
        </w:rPr>
        <w:t>条  评价指标体系的设计应当遵循下列原则：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1、有利于企业加强党的组织建设和思想建设，重视和践行企业文化，增强企业的凝聚力。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、有利于引导企业创新发展、转型升级，</w:t>
      </w:r>
      <w:r>
        <w:rPr>
          <w:rFonts w:hint="eastAsia" w:ascii="仿宋" w:hAnsi="仿宋" w:eastAsia="仿宋" w:cs="仿宋"/>
          <w:sz w:val="32"/>
          <w:szCs w:val="32"/>
          <w:lang w:val="en-US" w:eastAsia="zh-CN"/>
        </w:rPr>
        <w:t>并引导企业培育核心竞争力，</w:t>
      </w:r>
      <w:r>
        <w:rPr>
          <w:rFonts w:hint="eastAsia" w:ascii="仿宋" w:hAnsi="仿宋" w:eastAsia="仿宋" w:cs="仿宋"/>
          <w:sz w:val="32"/>
          <w:szCs w:val="32"/>
        </w:rPr>
        <w:t>反映企业创新发展、转型升级的成果；</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、有利于鼓励、支持企业大力实施品牌战略，体现品牌企业的基本内涵</w:t>
      </w:r>
      <w:r>
        <w:rPr>
          <w:rFonts w:hint="eastAsia" w:ascii="仿宋" w:hAnsi="仿宋" w:eastAsia="仿宋" w:cs="仿宋"/>
          <w:sz w:val="32"/>
          <w:szCs w:val="32"/>
          <w:lang w:val="en-US" w:eastAsia="zh-CN"/>
        </w:rPr>
        <w:t>和先进企业的先进性。</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4、有利于企业配合协会组织开展服务全行业的公益性活动。</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、定量指标与定性指标相结合，突出定量指标的主导性。定性指标，也应当力求量化操作。</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6、具体指标及其操作，有利于实行线上评价为主、线下为辅。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五</w:t>
      </w:r>
      <w:r>
        <w:rPr>
          <w:rFonts w:hint="eastAsia" w:ascii="仿宋" w:hAnsi="仿宋" w:eastAsia="仿宋" w:cs="仿宋"/>
          <w:sz w:val="32"/>
          <w:szCs w:val="32"/>
        </w:rPr>
        <w:t>条  一级指标分为党的建设与企业文化、人才状况、科技创新、企业品质、营业收入、社会责任等六</w:t>
      </w:r>
      <w:r>
        <w:rPr>
          <w:rFonts w:hint="eastAsia" w:ascii="仿宋" w:hAnsi="仿宋" w:eastAsia="仿宋" w:cs="仿宋"/>
          <w:sz w:val="32"/>
          <w:szCs w:val="32"/>
          <w:lang w:val="en-US" w:eastAsia="zh-CN"/>
        </w:rPr>
        <w:t>个</w:t>
      </w:r>
      <w:r>
        <w:rPr>
          <w:rFonts w:hint="eastAsia" w:ascii="仿宋" w:hAnsi="仿宋" w:eastAsia="仿宋" w:cs="仿宋"/>
          <w:sz w:val="32"/>
          <w:szCs w:val="32"/>
        </w:rPr>
        <w:t>项</w:t>
      </w:r>
      <w:r>
        <w:rPr>
          <w:rFonts w:hint="eastAsia" w:ascii="仿宋" w:hAnsi="仿宋" w:eastAsia="仿宋" w:cs="仿宋"/>
          <w:sz w:val="32"/>
          <w:szCs w:val="32"/>
          <w:lang w:val="en-US" w:eastAsia="zh-CN"/>
        </w:rPr>
        <w:t>目</w:t>
      </w:r>
      <w:r>
        <w:rPr>
          <w:rFonts w:hint="eastAsia" w:ascii="仿宋" w:hAnsi="仿宋" w:eastAsia="仿宋" w:cs="仿宋"/>
          <w:sz w:val="32"/>
          <w:szCs w:val="32"/>
        </w:rPr>
        <w:t>。各项</w:t>
      </w:r>
      <w:r>
        <w:rPr>
          <w:rFonts w:hint="eastAsia" w:ascii="仿宋" w:hAnsi="仿宋" w:eastAsia="仿宋" w:cs="仿宋"/>
          <w:sz w:val="32"/>
          <w:szCs w:val="32"/>
          <w:lang w:val="en-US" w:eastAsia="zh-CN"/>
        </w:rPr>
        <w:t>目</w:t>
      </w:r>
      <w:r>
        <w:rPr>
          <w:rFonts w:hint="eastAsia" w:ascii="仿宋" w:hAnsi="仿宋" w:eastAsia="仿宋" w:cs="仿宋"/>
          <w:sz w:val="32"/>
          <w:szCs w:val="32"/>
        </w:rPr>
        <w:t>的权重见附件1《陕西省工程造价咨询</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六</w:t>
      </w:r>
      <w:r>
        <w:rPr>
          <w:rFonts w:hint="eastAsia" w:ascii="仿宋" w:hAnsi="仿宋" w:eastAsia="仿宋" w:cs="仿宋"/>
          <w:sz w:val="32"/>
          <w:szCs w:val="32"/>
        </w:rPr>
        <w:t>条  二级指标的名称、内涵</w:t>
      </w:r>
      <w:r>
        <w:rPr>
          <w:rFonts w:hint="eastAsia" w:ascii="仿宋" w:hAnsi="仿宋" w:eastAsia="仿宋" w:cs="仿宋"/>
          <w:sz w:val="32"/>
          <w:szCs w:val="32"/>
          <w:lang w:eastAsia="zh-CN"/>
        </w:rPr>
        <w:t>，</w:t>
      </w:r>
      <w:r>
        <w:rPr>
          <w:rFonts w:hint="eastAsia" w:ascii="仿宋" w:hAnsi="仿宋" w:eastAsia="仿宋" w:cs="仿宋"/>
          <w:sz w:val="32"/>
          <w:szCs w:val="32"/>
        </w:rPr>
        <w:t>边界的界定，分值及其具体计算等，见附件1《陕西省工程造价咨询</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eastAsia" w:ascii="黑体" w:hAnsi="黑体" w:eastAsia="黑体" w:cs="黑体"/>
          <w:b/>
          <w:sz w:val="32"/>
          <w:szCs w:val="32"/>
        </w:rPr>
      </w:pPr>
      <w:r>
        <w:rPr>
          <w:rFonts w:hint="eastAsia" w:ascii="黑体" w:hAnsi="黑体" w:eastAsia="黑体" w:cs="黑体"/>
          <w:b/>
          <w:sz w:val="32"/>
          <w:szCs w:val="32"/>
        </w:rPr>
        <w:t xml:space="preserve"> 评价程序与具体操作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jc w:val="both"/>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七</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0强企业评价程序：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1、企业申报；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2、组成评价委员会；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、评价委员会评价；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、向社会公示评价委员会初评结果；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、对于有异议的初评结果，调查核实，进行复评；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、评价领导机构认定并发布评价结果</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企业</w:t>
      </w:r>
      <w:r>
        <w:rPr>
          <w:rFonts w:hint="eastAsia" w:ascii="仿宋" w:hAnsi="仿宋" w:eastAsia="仿宋" w:cs="仿宋"/>
          <w:sz w:val="32"/>
          <w:szCs w:val="32"/>
        </w:rPr>
        <w:t>应当申报的资料：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1、陕西省工程造价咨询</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0强企业评价综合申请表，见附件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党的建设与企业文化状况表，见附件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企业</w:t>
      </w:r>
      <w:r>
        <w:rPr>
          <w:rFonts w:hint="eastAsia" w:ascii="仿宋" w:hAnsi="仿宋" w:eastAsia="仿宋" w:cs="仿宋"/>
          <w:sz w:val="32"/>
          <w:szCs w:val="32"/>
          <w:lang w:val="en-US" w:eastAsia="zh-CN"/>
        </w:rPr>
        <w:t>人才状况</w:t>
      </w:r>
      <w:r>
        <w:rPr>
          <w:rFonts w:hint="eastAsia" w:ascii="仿宋" w:hAnsi="仿宋" w:eastAsia="仿宋" w:cs="仿宋"/>
          <w:sz w:val="32"/>
          <w:szCs w:val="32"/>
        </w:rPr>
        <w:t>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企业科技</w:t>
      </w:r>
      <w:r>
        <w:rPr>
          <w:rFonts w:hint="eastAsia" w:ascii="仿宋" w:hAnsi="仿宋" w:eastAsia="仿宋" w:cs="仿宋"/>
          <w:sz w:val="32"/>
          <w:szCs w:val="32"/>
          <w:lang w:val="en-US" w:eastAsia="zh-CN"/>
        </w:rPr>
        <w:t>进步状况</w:t>
      </w:r>
      <w:r>
        <w:rPr>
          <w:rFonts w:hint="eastAsia" w:ascii="仿宋" w:hAnsi="仿宋" w:eastAsia="仿宋" w:cs="仿宋"/>
          <w:sz w:val="32"/>
          <w:szCs w:val="32"/>
        </w:rPr>
        <w:t>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企业品质状况表，见附件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default" w:ascii="仿宋" w:hAnsi="仿宋" w:eastAsia="仿宋" w:cs="仿宋"/>
          <w:color w:val="auto"/>
          <w:sz w:val="32"/>
          <w:szCs w:val="32"/>
          <w:lang w:val="en-US"/>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企业</w:t>
      </w:r>
      <w:r>
        <w:rPr>
          <w:rFonts w:hint="eastAsia" w:ascii="仿宋" w:hAnsi="仿宋" w:eastAsia="仿宋" w:cs="仿宋"/>
          <w:color w:val="auto"/>
          <w:sz w:val="32"/>
          <w:szCs w:val="32"/>
        </w:rPr>
        <w:t>营业收入表</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见附件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表列营业收入与同年度报送统计机构的统计数据应当一致，若出现不一致，以不利于企业的原则处理。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评价期</w:t>
      </w:r>
      <w:r>
        <w:rPr>
          <w:rFonts w:hint="eastAsia" w:ascii="仿宋" w:hAnsi="仿宋" w:eastAsia="仿宋" w:cs="仿宋"/>
          <w:sz w:val="32"/>
          <w:szCs w:val="32"/>
        </w:rPr>
        <w:t>企业履行社会责任情况表，见附件</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九</w:t>
      </w:r>
      <w:r>
        <w:rPr>
          <w:rFonts w:hint="eastAsia" w:ascii="仿宋" w:hAnsi="仿宋" w:eastAsia="仿宋" w:cs="仿宋"/>
          <w:sz w:val="32"/>
          <w:szCs w:val="32"/>
        </w:rPr>
        <w:t>条  评价委员会评价方法：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1、核查企业申报资料的完整性、真实性</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营业收入、企业在注册地纳税额及</w:t>
      </w:r>
      <w:r>
        <w:rPr>
          <w:rFonts w:hint="eastAsia" w:ascii="仿宋" w:hAnsi="仿宋" w:eastAsia="仿宋" w:cs="仿宋"/>
          <w:sz w:val="32"/>
          <w:szCs w:val="32"/>
          <w:lang w:val="en-US" w:eastAsia="zh-CN"/>
        </w:rPr>
        <w:t>人才状况各项指标</w:t>
      </w:r>
      <w:r>
        <w:rPr>
          <w:rFonts w:hint="eastAsia" w:ascii="仿宋" w:hAnsi="仿宋" w:eastAsia="仿宋" w:cs="仿宋"/>
          <w:sz w:val="32"/>
          <w:szCs w:val="32"/>
        </w:rPr>
        <w:t>为必查项目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核查实行线上、随机为主，线下到企业核查为辅的办法，最大限度地减少企业负担。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、依据核查的情况，对各项评价指标计分，并综合计算各企业总计得分；</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、依据各企业总计得分的情况，排列出各企业的顺序，提出</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0强企业的初步名单；</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、将</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0强企业初步名单向社会公示；</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、复查公示后有异议的事项；</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、向省建设工程造价管理协会提交评价工作报告</w:t>
      </w:r>
      <w:r>
        <w:rPr>
          <w:rFonts w:hint="eastAsia" w:ascii="仿宋" w:hAnsi="仿宋" w:eastAsia="仿宋" w:cs="仿宋"/>
          <w:sz w:val="32"/>
          <w:szCs w:val="32"/>
          <w:lang w:val="en-US" w:eastAsia="zh-CN"/>
        </w:rPr>
        <w:t>与先进企业和3</w:t>
      </w:r>
      <w:r>
        <w:rPr>
          <w:rFonts w:hint="eastAsia" w:ascii="仿宋" w:hAnsi="仿宋" w:eastAsia="仿宋" w:cs="仿宋"/>
          <w:sz w:val="32"/>
          <w:szCs w:val="32"/>
        </w:rPr>
        <w:t>0强企业建议名单；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w:t>
      </w:r>
      <w:r>
        <w:rPr>
          <w:rFonts w:hint="eastAsia" w:ascii="仿宋" w:hAnsi="仿宋" w:eastAsia="仿宋" w:cs="仿宋"/>
          <w:sz w:val="32"/>
          <w:szCs w:val="32"/>
        </w:rPr>
        <w:t>条  省建设工程造价管理协会应当在评价委员会提交评价工作报告</w:t>
      </w:r>
      <w:r>
        <w:rPr>
          <w:rFonts w:hint="eastAsia" w:ascii="仿宋" w:hAnsi="仿宋" w:eastAsia="仿宋" w:cs="仿宋"/>
          <w:sz w:val="32"/>
          <w:szCs w:val="32"/>
          <w:lang w:val="en-US" w:eastAsia="zh-CN"/>
        </w:rPr>
        <w:t>与先进企业和3</w:t>
      </w:r>
      <w:r>
        <w:rPr>
          <w:rFonts w:hint="eastAsia" w:ascii="仿宋" w:hAnsi="仿宋" w:eastAsia="仿宋" w:cs="仿宋"/>
          <w:sz w:val="32"/>
          <w:szCs w:val="32"/>
        </w:rPr>
        <w:t>0强企业建议名单后，一周以内召开</w:t>
      </w:r>
      <w:r>
        <w:rPr>
          <w:rFonts w:hint="eastAsia" w:ascii="仿宋" w:hAnsi="仿宋" w:eastAsia="仿宋" w:cs="仿宋"/>
          <w:color w:val="auto"/>
          <w:sz w:val="32"/>
          <w:szCs w:val="32"/>
        </w:rPr>
        <w:t>协会理事长办公会</w:t>
      </w:r>
      <w:r>
        <w:rPr>
          <w:rFonts w:hint="eastAsia" w:ascii="仿宋" w:hAnsi="仿宋" w:eastAsia="仿宋" w:cs="仿宋"/>
          <w:sz w:val="32"/>
          <w:szCs w:val="32"/>
        </w:rPr>
        <w:t>议，认可评价工作报告，认定建议名单，并予以发布。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二十一</w:t>
      </w:r>
      <w:r>
        <w:rPr>
          <w:rFonts w:hint="eastAsia" w:ascii="仿宋" w:hAnsi="仿宋" w:eastAsia="仿宋" w:cs="仿宋"/>
          <w:sz w:val="32"/>
          <w:szCs w:val="32"/>
        </w:rPr>
        <w:t>条  评价工作结束后，评价工作办公室应当编写</w:t>
      </w:r>
      <w:r>
        <w:rPr>
          <w:rFonts w:hint="eastAsia" w:ascii="仿宋" w:hAnsi="仿宋" w:eastAsia="仿宋" w:cs="仿宋"/>
          <w:sz w:val="32"/>
          <w:szCs w:val="32"/>
          <w:lang w:val="en-US" w:eastAsia="zh-CN"/>
        </w:rPr>
        <w:t>评价期先进企业和3</w:t>
      </w:r>
      <w:r>
        <w:rPr>
          <w:rFonts w:hint="eastAsia" w:ascii="仿宋" w:hAnsi="仿宋" w:eastAsia="仿宋" w:cs="仿宋"/>
          <w:sz w:val="32"/>
          <w:szCs w:val="32"/>
        </w:rPr>
        <w:t>0强企业</w:t>
      </w:r>
      <w:r>
        <w:rPr>
          <w:rFonts w:hint="eastAsia" w:ascii="仿宋" w:hAnsi="仿宋" w:eastAsia="仿宋" w:cs="仿宋"/>
          <w:sz w:val="32"/>
          <w:szCs w:val="32"/>
          <w:lang w:val="en-US" w:eastAsia="zh-CN"/>
        </w:rPr>
        <w:t>的</w:t>
      </w:r>
      <w:r>
        <w:rPr>
          <w:rFonts w:hint="eastAsia" w:ascii="仿宋" w:hAnsi="仿宋" w:eastAsia="仿宋" w:cs="仿宋"/>
          <w:sz w:val="32"/>
          <w:szCs w:val="32"/>
        </w:rPr>
        <w:t>发展报告，提交</w:t>
      </w:r>
      <w:r>
        <w:rPr>
          <w:rFonts w:hint="eastAsia" w:ascii="仿宋" w:hAnsi="仿宋" w:eastAsia="仿宋" w:cs="仿宋"/>
          <w:color w:val="auto"/>
          <w:sz w:val="32"/>
          <w:szCs w:val="32"/>
        </w:rPr>
        <w:t>协会理事长办公会议审核后向社会发布。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eastAsia" w:ascii="黑体" w:hAnsi="黑体" w:eastAsia="黑体" w:cs="黑体"/>
          <w:b/>
          <w:sz w:val="32"/>
          <w:szCs w:val="32"/>
        </w:rPr>
      </w:pPr>
      <w:r>
        <w:rPr>
          <w:rFonts w:hint="eastAsia" w:ascii="黑体" w:hAnsi="黑体" w:eastAsia="黑体" w:cs="黑体"/>
          <w:b/>
          <w:sz w:val="32"/>
          <w:szCs w:val="32"/>
        </w:rPr>
        <w:t xml:space="preserve">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jc w:val="both"/>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二十二</w:t>
      </w:r>
      <w:r>
        <w:rPr>
          <w:rFonts w:hint="eastAsia" w:ascii="仿宋" w:hAnsi="仿宋" w:eastAsia="仿宋" w:cs="仿宋"/>
          <w:sz w:val="32"/>
          <w:szCs w:val="32"/>
        </w:rPr>
        <w:t>条  省建设工程造价管理协会为评价工作全过程监督管理机构，受理社会、行业、企业、个人对评价工作的监督、举报，并接受政府行业主管部门</w:t>
      </w:r>
      <w:r>
        <w:rPr>
          <w:rFonts w:hint="eastAsia" w:ascii="仿宋" w:hAnsi="仿宋" w:eastAsia="仿宋" w:cs="仿宋"/>
          <w:sz w:val="32"/>
          <w:szCs w:val="32"/>
          <w:lang w:val="en-US" w:eastAsia="zh-CN"/>
        </w:rPr>
        <w:t>和社团管理部门</w:t>
      </w:r>
      <w:r>
        <w:rPr>
          <w:rFonts w:hint="eastAsia" w:ascii="仿宋" w:hAnsi="仿宋" w:eastAsia="仿宋" w:cs="仿宋"/>
          <w:sz w:val="32"/>
          <w:szCs w:val="32"/>
        </w:rPr>
        <w:t>的监督。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二十三</w:t>
      </w:r>
      <w:r>
        <w:rPr>
          <w:rFonts w:hint="eastAsia" w:ascii="仿宋" w:hAnsi="仿宋" w:eastAsia="仿宋" w:cs="仿宋"/>
          <w:sz w:val="32"/>
          <w:szCs w:val="32"/>
        </w:rPr>
        <w:t>条  评价委员会成员应当严格遵守以下工作纪律：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1、严格按照本办法进行评价；</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2、不得参与本企业的评价，如与</w:t>
      </w:r>
      <w:r>
        <w:rPr>
          <w:rFonts w:hint="eastAsia" w:ascii="仿宋" w:hAnsi="仿宋" w:eastAsia="仿宋" w:cs="仿宋"/>
          <w:sz w:val="32"/>
          <w:szCs w:val="32"/>
          <w:lang w:val="en-US" w:eastAsia="zh-CN"/>
        </w:rPr>
        <w:t>参</w:t>
      </w:r>
      <w:r>
        <w:rPr>
          <w:rFonts w:hint="eastAsia" w:ascii="仿宋" w:hAnsi="仿宋" w:eastAsia="仿宋" w:cs="仿宋"/>
          <w:sz w:val="32"/>
          <w:szCs w:val="32"/>
        </w:rPr>
        <w:t>评企业有利害关系，应当主动回避；</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3、不得泄露参评企业的商业秘密和个人隐私；</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4、不得向外泄露其他评价委员的姓名、电话与电子邮箱</w:t>
      </w:r>
      <w:r>
        <w:rPr>
          <w:rFonts w:hint="eastAsia" w:ascii="仿宋" w:hAnsi="仿宋" w:eastAsia="仿宋" w:cs="仿宋"/>
          <w:sz w:val="32"/>
          <w:szCs w:val="32"/>
          <w:lang w:eastAsia="zh-CN"/>
        </w:rPr>
        <w:t>、</w:t>
      </w:r>
      <w:r>
        <w:rPr>
          <w:rFonts w:hint="eastAsia" w:ascii="仿宋" w:hAnsi="仿宋" w:eastAsia="仿宋" w:cs="仿宋"/>
          <w:sz w:val="32"/>
          <w:szCs w:val="32"/>
        </w:rPr>
        <w:t>微信等联系方式、工作单位、地址等信息；</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5、不得私下与任何参评企业进行接触，不得收受参评企业的财物或其他好处；</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6、不得徇私放宽评价标准，不得出现其他有碍公平、公正的行为。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二十四</w:t>
      </w:r>
      <w:r>
        <w:rPr>
          <w:rFonts w:hint="eastAsia" w:ascii="仿宋" w:hAnsi="仿宋" w:eastAsia="仿宋" w:cs="仿宋"/>
          <w:sz w:val="32"/>
          <w:szCs w:val="32"/>
        </w:rPr>
        <w:t>条  评价委员会成员违反第二十条第2、3、4、5、6款任何一款规定，记录个人执业资格不良行为一次，并在三年内不得担任评价委员。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五</w:t>
      </w:r>
      <w:r>
        <w:rPr>
          <w:rFonts w:hint="eastAsia" w:ascii="仿宋" w:hAnsi="仿宋" w:eastAsia="仿宋" w:cs="仿宋"/>
          <w:sz w:val="32"/>
          <w:szCs w:val="32"/>
        </w:rPr>
        <w:t>条  省建设工程造价管理协会的领导成员与工作人员均不得干预评价委员会公正、公平进行评价活动。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六</w:t>
      </w:r>
      <w:r>
        <w:rPr>
          <w:rFonts w:hint="eastAsia" w:ascii="仿宋" w:hAnsi="仿宋" w:eastAsia="仿宋" w:cs="仿宋"/>
          <w:sz w:val="32"/>
          <w:szCs w:val="32"/>
        </w:rPr>
        <w:t>条  参评企业必须如实申报规定的所有资料，不得弄虚作假。下列行为认定为弄虚作假：</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1、工程造价咨询业务收入：</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（1）将不符合《评价标准》界定范围的其他业务收入计入造价咨询业务收入的；</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（2）将不符合《评价标准》规定范围的常规业务收入列入高端市场业务收入的；</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（3）涂改发票的服务内容、开票时间或金额的；</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（4）同一服务项目重复计算收入的；</w:t>
      </w: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ascii="仿宋" w:hAnsi="仿宋" w:eastAsia="仿宋" w:cs="仿宋"/>
          <w:sz w:val="32"/>
          <w:szCs w:val="32"/>
        </w:rPr>
      </w:pPr>
      <w:r>
        <w:rPr>
          <w:rFonts w:hint="eastAsia" w:ascii="仿宋" w:hAnsi="仿宋" w:eastAsia="仿宋" w:cs="仿宋"/>
          <w:sz w:val="32"/>
          <w:szCs w:val="32"/>
        </w:rPr>
        <w:t>2、其他二级指标申报情况，与评价委员会随机</w:t>
      </w:r>
      <w:r>
        <w:rPr>
          <w:rFonts w:hint="eastAsia" w:ascii="仿宋" w:hAnsi="仿宋" w:eastAsia="仿宋" w:cs="仿宋"/>
          <w:sz w:val="32"/>
          <w:szCs w:val="32"/>
          <w:lang w:val="en-US" w:eastAsia="zh-CN"/>
        </w:rPr>
        <w:t>核</w:t>
      </w:r>
      <w:r>
        <w:rPr>
          <w:rFonts w:hint="eastAsia" w:ascii="仿宋" w:hAnsi="仿宋" w:eastAsia="仿宋" w:cs="仿宋"/>
          <w:sz w:val="32"/>
          <w:szCs w:val="32"/>
        </w:rPr>
        <w:t>查结果不符的。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七</w:t>
      </w:r>
      <w:r>
        <w:rPr>
          <w:rFonts w:hint="eastAsia" w:ascii="仿宋" w:hAnsi="仿宋" w:eastAsia="仿宋" w:cs="仿宋"/>
          <w:sz w:val="32"/>
          <w:szCs w:val="32"/>
        </w:rPr>
        <w:t>条  凡认定有弄虚作假行为的，取消当</w:t>
      </w:r>
      <w:r>
        <w:rPr>
          <w:rFonts w:hint="eastAsia" w:ascii="仿宋" w:hAnsi="仿宋" w:eastAsia="仿宋" w:cs="仿宋"/>
          <w:sz w:val="32"/>
          <w:szCs w:val="32"/>
          <w:lang w:val="en-US" w:eastAsia="zh-CN"/>
        </w:rPr>
        <w:t>期</w:t>
      </w:r>
      <w:r>
        <w:rPr>
          <w:rFonts w:hint="eastAsia" w:ascii="仿宋" w:hAnsi="仿宋" w:eastAsia="仿宋" w:cs="仿宋"/>
          <w:sz w:val="32"/>
          <w:szCs w:val="32"/>
        </w:rPr>
        <w:t>参评资格，由协会记</w:t>
      </w:r>
      <w:r>
        <w:rPr>
          <w:rFonts w:hint="eastAsia" w:ascii="仿宋" w:hAnsi="仿宋" w:eastAsia="仿宋" w:cs="仿宋"/>
          <w:sz w:val="32"/>
          <w:szCs w:val="32"/>
          <w:lang w:val="en-US" w:eastAsia="zh-CN"/>
        </w:rPr>
        <w:t>录</w:t>
      </w:r>
      <w:r>
        <w:rPr>
          <w:rFonts w:hint="eastAsia" w:ascii="仿宋" w:hAnsi="仿宋" w:eastAsia="仿宋" w:cs="仿宋"/>
          <w:sz w:val="32"/>
          <w:szCs w:val="32"/>
        </w:rPr>
        <w:t>不良行为一次，并向社会公示。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八</w:t>
      </w:r>
      <w:r>
        <w:rPr>
          <w:rFonts w:hint="eastAsia" w:ascii="仿宋" w:hAnsi="仿宋" w:eastAsia="仿宋" w:cs="仿宋"/>
          <w:sz w:val="32"/>
          <w:szCs w:val="32"/>
        </w:rPr>
        <w:t>条  参评企业在评价</w:t>
      </w:r>
      <w:r>
        <w:rPr>
          <w:rFonts w:hint="eastAsia" w:ascii="仿宋" w:hAnsi="仿宋" w:eastAsia="仿宋" w:cs="仿宋"/>
          <w:sz w:val="32"/>
          <w:szCs w:val="32"/>
          <w:lang w:val="en-US" w:eastAsia="zh-CN"/>
        </w:rPr>
        <w:t>期内</w:t>
      </w:r>
      <w:r>
        <w:rPr>
          <w:rFonts w:hint="eastAsia" w:ascii="仿宋" w:hAnsi="仿宋" w:eastAsia="仿宋" w:cs="仿宋"/>
          <w:sz w:val="32"/>
          <w:szCs w:val="32"/>
        </w:rPr>
        <w:t>受到过市级（不含县级市）及以上住建部门行政处罚（含记录不良行为）的，取消当</w:t>
      </w:r>
      <w:r>
        <w:rPr>
          <w:rFonts w:hint="eastAsia" w:ascii="仿宋" w:hAnsi="仿宋" w:eastAsia="仿宋" w:cs="仿宋"/>
          <w:sz w:val="32"/>
          <w:szCs w:val="32"/>
          <w:lang w:val="en-US" w:eastAsia="zh-CN"/>
        </w:rPr>
        <w:t>期</w:t>
      </w:r>
      <w:r>
        <w:rPr>
          <w:rFonts w:hint="eastAsia" w:ascii="仿宋" w:hAnsi="仿宋" w:eastAsia="仿宋" w:cs="仿宋"/>
          <w:sz w:val="32"/>
          <w:szCs w:val="32"/>
        </w:rPr>
        <w:t>参评资格。</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九</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社会、</w:t>
      </w:r>
      <w:r>
        <w:rPr>
          <w:rFonts w:hint="eastAsia" w:ascii="仿宋" w:hAnsi="仿宋" w:eastAsia="仿宋" w:cs="仿宋"/>
          <w:sz w:val="32"/>
          <w:szCs w:val="32"/>
        </w:rPr>
        <w:t>行业、</w:t>
      </w:r>
      <w:r>
        <w:rPr>
          <w:rFonts w:hint="eastAsia" w:ascii="仿宋" w:hAnsi="仿宋" w:eastAsia="仿宋" w:cs="仿宋"/>
          <w:sz w:val="32"/>
          <w:szCs w:val="32"/>
          <w:lang w:val="en-US" w:eastAsia="zh-CN"/>
        </w:rPr>
        <w:t>企业、个人</w:t>
      </w:r>
      <w:r>
        <w:rPr>
          <w:rFonts w:hint="eastAsia" w:ascii="仿宋" w:hAnsi="仿宋" w:eastAsia="仿宋" w:cs="仿宋"/>
          <w:sz w:val="32"/>
          <w:szCs w:val="32"/>
        </w:rPr>
        <w:t>对参评企业的举报，实行实名举报。对于实名举报人，评价监督机构应当保密；对于实名举报的内容，评价监督机构应安排专人调查核实，并向举报人通报核实情况与处理结果。对于实名举报的问题，经调查属实的，应当</w:t>
      </w:r>
      <w:r>
        <w:rPr>
          <w:rFonts w:hint="eastAsia" w:ascii="仿宋" w:hAnsi="仿宋" w:eastAsia="仿宋" w:cs="仿宋"/>
          <w:sz w:val="32"/>
          <w:szCs w:val="32"/>
          <w:lang w:val="en-US" w:eastAsia="zh-CN"/>
        </w:rPr>
        <w:t>依据本办法及相关规定严肃处理，并</w:t>
      </w:r>
      <w:r>
        <w:rPr>
          <w:rFonts w:hint="eastAsia" w:ascii="仿宋" w:hAnsi="仿宋" w:eastAsia="仿宋" w:cs="仿宋"/>
          <w:sz w:val="32"/>
          <w:szCs w:val="32"/>
        </w:rPr>
        <w:t>对举报人予以表彰。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eastAsia" w:ascii="黑体" w:hAnsi="黑体" w:eastAsia="黑体" w:cs="黑体"/>
          <w:b/>
          <w:sz w:val="32"/>
          <w:szCs w:val="32"/>
        </w:rPr>
      </w:pPr>
      <w:r>
        <w:rPr>
          <w:rFonts w:hint="eastAsia" w:ascii="黑体" w:hAnsi="黑体" w:eastAsia="黑体" w:cs="黑体"/>
          <w:b/>
          <w:sz w:val="32"/>
          <w:szCs w:val="32"/>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jc w:val="both"/>
        <w:textAlignment w:val="auto"/>
        <w:rPr>
          <w:rFonts w:hint="eastAsia"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w:t>
      </w:r>
      <w:r>
        <w:rPr>
          <w:rFonts w:hint="eastAsia" w:ascii="仿宋" w:hAnsi="仿宋" w:eastAsia="仿宋" w:cs="仿宋"/>
          <w:sz w:val="32"/>
          <w:szCs w:val="32"/>
        </w:rPr>
        <w:t>条  本办法自发布之日起施行。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三十一</w:t>
      </w:r>
      <w:r>
        <w:rPr>
          <w:rFonts w:hint="eastAsia" w:ascii="仿宋" w:hAnsi="仿宋" w:eastAsia="仿宋" w:cs="仿宋"/>
          <w:sz w:val="32"/>
          <w:szCs w:val="32"/>
        </w:rPr>
        <w:t>条  本办法由评价工作办公室负责解释。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三十二</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先进企业和3</w:t>
      </w:r>
      <w:r>
        <w:rPr>
          <w:rFonts w:hint="eastAsia" w:ascii="仿宋" w:hAnsi="仿宋" w:eastAsia="仿宋" w:cs="仿宋"/>
          <w:sz w:val="32"/>
          <w:szCs w:val="32"/>
        </w:rPr>
        <w:t>0强企业评价不收取任何费用。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2094" w:leftChars="304" w:hanging="1456" w:hangingChars="45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r>
        <w:rPr>
          <w:rFonts w:hint="eastAsia" w:ascii="仿宋" w:hAnsi="仿宋" w:eastAsia="仿宋" w:cs="仿宋"/>
          <w:sz w:val="32"/>
          <w:szCs w:val="32"/>
          <w:lang w:val="en-US" w:eastAsia="zh-CN"/>
        </w:rPr>
        <w:t xml:space="preserve"> 1、陕西省工程</w:t>
      </w:r>
      <w:bookmarkStart w:id="0" w:name="_GoBack"/>
      <w:bookmarkEnd w:id="0"/>
      <w:r>
        <w:rPr>
          <w:rFonts w:hint="eastAsia" w:ascii="仿宋" w:hAnsi="仿宋" w:eastAsia="仿宋" w:cs="仿宋"/>
          <w:sz w:val="32"/>
          <w:szCs w:val="32"/>
          <w:lang w:val="en-US" w:eastAsia="zh-CN"/>
        </w:rPr>
        <w:t>造价咨询</w:t>
      </w:r>
      <w:r>
        <w:rPr>
          <w:rFonts w:hint="eastAsia" w:ascii="仿宋" w:hAnsi="仿宋" w:eastAsia="仿宋" w:cs="仿宋"/>
          <w:sz w:val="32"/>
          <w:szCs w:val="32"/>
          <w:lang w:val="en-US" w:eastAsia="zh-CN"/>
        </w:rPr>
        <w:t>先进企业和30强企业评价标准</w:t>
      </w:r>
    </w:p>
    <w:p>
      <w:pPr>
        <w:keepNext w:val="0"/>
        <w:keepLines w:val="0"/>
        <w:pageBreakBefore w:val="0"/>
        <w:widowControl w:val="0"/>
        <w:kinsoku/>
        <w:wordWrap/>
        <w:overflowPunct/>
        <w:topLinePunct w:val="0"/>
        <w:autoSpaceDE/>
        <w:autoSpaceDN/>
        <w:bidi w:val="0"/>
        <w:adjustRightInd/>
        <w:snapToGrid/>
        <w:spacing w:line="550" w:lineRule="exact"/>
        <w:ind w:left="2096" w:leftChars="800" w:hanging="416" w:hangingChars="13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2、陕西省工程造价咨询先进企业和30强企业评价员会企业代表管理规定</w:t>
      </w:r>
    </w:p>
    <w:p>
      <w:pPr>
        <w:keepNext w:val="0"/>
        <w:keepLines w:val="0"/>
        <w:pageBreakBefore w:val="0"/>
        <w:widowControl w:val="0"/>
        <w:kinsoku/>
        <w:wordWrap/>
        <w:overflowPunct/>
        <w:topLinePunct w:val="0"/>
        <w:autoSpaceDE/>
        <w:autoSpaceDN/>
        <w:bidi w:val="0"/>
        <w:adjustRightInd/>
        <w:snapToGrid/>
        <w:spacing w:line="550" w:lineRule="exact"/>
        <w:ind w:left="2096" w:leftChars="800" w:hanging="416" w:hangingChars="13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3、陕西省工程造价咨询先进企业和30强企业评价报资料表</w:t>
      </w:r>
    </w:p>
    <w:p>
      <w:pPr>
        <w:keepNext w:val="0"/>
        <w:keepLines w:val="0"/>
        <w:pageBreakBefore w:val="0"/>
        <w:widowControl w:val="0"/>
        <w:kinsoku/>
        <w:wordWrap/>
        <w:overflowPunct/>
        <w:topLinePunct w:val="0"/>
        <w:autoSpaceDE/>
        <w:autoSpaceDN/>
        <w:bidi w:val="0"/>
        <w:adjustRightInd/>
        <w:snapToGrid/>
        <w:spacing w:line="550" w:lineRule="exact"/>
        <w:ind w:left="2512" w:leftChars="800" w:hanging="832" w:hangingChars="26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3-1、陕西省工程造价咨询</w:t>
      </w:r>
      <w:r>
        <w:rPr>
          <w:rFonts w:hint="eastAsia" w:ascii="仿宋" w:hAnsi="仿宋" w:eastAsia="仿宋" w:cs="仿宋"/>
          <w:sz w:val="32"/>
          <w:szCs w:val="32"/>
          <w:lang w:val="en-US" w:eastAsia="zh-CN"/>
        </w:rPr>
        <w:t>先进企业和30强企业评价综合申请表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3-2、评价期党的建设与企业文化状况表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3-3、评价期企业</w:t>
      </w:r>
      <w:r>
        <w:rPr>
          <w:rFonts w:hint="eastAsia" w:ascii="仿宋" w:hAnsi="仿宋" w:eastAsia="仿宋" w:cs="仿宋"/>
          <w:sz w:val="32"/>
          <w:szCs w:val="32"/>
          <w:lang w:val="en-US" w:eastAsia="zh-CN"/>
        </w:rPr>
        <w:t>人才状况表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3-4、评价期企业科技</w:t>
      </w:r>
      <w:r>
        <w:rPr>
          <w:rFonts w:hint="eastAsia" w:ascii="仿宋" w:hAnsi="仿宋" w:eastAsia="仿宋" w:cs="仿宋"/>
          <w:sz w:val="32"/>
          <w:szCs w:val="32"/>
          <w:lang w:val="en-US" w:eastAsia="zh-CN"/>
        </w:rPr>
        <w:t>进步状况表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3-5、评价期企业品质状况表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3-6、评价期企业营业收入表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680" w:firstLineChars="525"/>
        <w:textAlignment w:val="auto"/>
        <w:rPr>
          <w:rFonts w:hint="eastAsia" w:ascii="仿宋" w:hAnsi="仿宋" w:eastAsia="仿宋"/>
          <w:sz w:val="32"/>
          <w:szCs w:val="32"/>
          <w:lang w:val="en-US" w:eastAsia="zh-CN"/>
        </w:rPr>
      </w:pPr>
      <w:r>
        <w:rPr>
          <w:rFonts w:hint="eastAsia" w:ascii="仿宋" w:hAnsi="仿宋" w:eastAsia="仿宋" w:cs="仿宋"/>
          <w:sz w:val="32"/>
          <w:szCs w:val="32"/>
          <w:lang w:val="en-US" w:eastAsia="zh-CN"/>
        </w:rPr>
        <w:t>3-7、评价期企业履行社会责任情</w:t>
      </w:r>
      <w:r>
        <w:rPr>
          <w:rFonts w:hint="eastAsia" w:ascii="仿宋" w:hAnsi="仿宋" w:eastAsia="仿宋" w:cs="仿宋"/>
          <w:sz w:val="32"/>
          <w:szCs w:val="32"/>
        </w:rPr>
        <w:t>况表</w:t>
      </w:r>
    </w:p>
    <w:p>
      <w:pPr>
        <w:widowControl/>
        <w:jc w:val="left"/>
        <w:rPr>
          <w:rFonts w:hint="eastAsia" w:ascii="仿宋" w:hAnsi="仿宋" w:eastAsia="仿宋"/>
          <w:sz w:val="32"/>
          <w:szCs w:val="32"/>
          <w:lang w:val="en-US" w:eastAsia="zh-CN"/>
        </w:rPr>
      </w:pPr>
    </w:p>
    <w:p>
      <w:pPr>
        <w:widowControl/>
        <w:jc w:val="left"/>
        <w:rPr>
          <w:rFonts w:hint="eastAsia" w:ascii="仿宋" w:hAnsi="仿宋" w:eastAsia="仿宋"/>
          <w:sz w:val="32"/>
          <w:szCs w:val="32"/>
          <w:lang w:val="en-US" w:eastAsia="zh-CN"/>
        </w:rPr>
      </w:pPr>
    </w:p>
    <w:p>
      <w:pPr>
        <w:widowControl/>
        <w:jc w:val="left"/>
        <w:rPr>
          <w:rFonts w:hint="eastAsia" w:ascii="仿宋" w:hAnsi="仿宋" w:eastAsia="仿宋"/>
          <w:sz w:val="32"/>
          <w:szCs w:val="32"/>
          <w:lang w:val="en-US" w:eastAsia="zh-CN"/>
        </w:rPr>
      </w:pPr>
    </w:p>
    <w:p>
      <w:pPr>
        <w:widowControl/>
        <w:jc w:val="left"/>
        <w:rPr>
          <w:rFonts w:hint="eastAsia" w:ascii="仿宋" w:hAnsi="仿宋" w:eastAsia="仿宋"/>
          <w:sz w:val="32"/>
          <w:szCs w:val="32"/>
          <w:lang w:val="en-US" w:eastAsia="zh-CN"/>
        </w:rPr>
      </w:pPr>
    </w:p>
    <w:p>
      <w:pPr>
        <w:widowControl/>
        <w:jc w:val="left"/>
        <w:rPr>
          <w:rFonts w:hint="eastAsia" w:ascii="仿宋" w:hAnsi="仿宋" w:eastAsia="仿宋"/>
          <w:sz w:val="32"/>
          <w:szCs w:val="32"/>
          <w:lang w:val="en-US" w:eastAsia="zh-CN"/>
        </w:rPr>
      </w:pPr>
    </w:p>
    <w:p>
      <w:pPr>
        <w:widowControl/>
        <w:jc w:val="left"/>
        <w:rPr>
          <w:rFonts w:hint="eastAsia" w:ascii="仿宋" w:hAnsi="仿宋" w:eastAsia="仿宋"/>
          <w:sz w:val="32"/>
          <w:szCs w:val="32"/>
          <w:lang w:val="en-US" w:eastAsia="zh-CN"/>
        </w:rPr>
        <w:sectPr>
          <w:footerReference r:id="rId3" w:type="default"/>
          <w:pgSz w:w="11906" w:h="16838"/>
          <w:pgMar w:top="1440" w:right="1706" w:bottom="1440" w:left="1800" w:header="851" w:footer="992" w:gutter="0"/>
          <w:cols w:space="425" w:num="1"/>
          <w:docGrid w:type="lines" w:linePitch="312" w:charSpace="0"/>
        </w:sectPr>
      </w:pPr>
    </w:p>
    <w:p>
      <w:pPr>
        <w:spacing w:line="360" w:lineRule="auto"/>
        <w:jc w:val="left"/>
        <w:rPr>
          <w:rFonts w:ascii="宋体" w:hAnsi="宋体" w:eastAsia="宋体" w:cs="宋体"/>
          <w:sz w:val="30"/>
          <w:szCs w:val="30"/>
        </w:rPr>
      </w:pPr>
      <w:r>
        <w:rPr>
          <w:rFonts w:hint="eastAsia" w:ascii="宋体" w:hAnsi="宋体" w:eastAsia="宋体" w:cs="宋体"/>
          <w:sz w:val="30"/>
          <w:szCs w:val="30"/>
        </w:rPr>
        <w:t>附件1</w:t>
      </w:r>
    </w:p>
    <w:p>
      <w:pPr>
        <w:spacing w:line="440" w:lineRule="exact"/>
        <w:jc w:val="center"/>
        <w:rPr>
          <w:rFonts w:hint="eastAsia" w:ascii="黑体" w:hAnsi="黑体" w:eastAsia="黑体" w:cs="黑体"/>
          <w:b/>
          <w:sz w:val="36"/>
          <w:szCs w:val="36"/>
          <w:u w:val="single"/>
        </w:rPr>
      </w:pPr>
      <w:r>
        <w:rPr>
          <w:rFonts w:hint="eastAsia" w:ascii="黑体" w:hAnsi="黑体" w:eastAsia="黑体" w:cs="黑体"/>
          <w:b/>
          <w:sz w:val="36"/>
          <w:szCs w:val="36"/>
          <w:u w:val="single"/>
        </w:rPr>
        <w:t>陕西省工程造价咨询先进企业和30强企业评价暂行标准</w:t>
      </w:r>
    </w:p>
    <w:tbl>
      <w:tblPr>
        <w:tblStyle w:val="4"/>
        <w:tblpPr w:leftFromText="180" w:rightFromText="180" w:vertAnchor="text" w:horzAnchor="page" w:tblpX="1008" w:tblpY="1033"/>
        <w:tblOverlap w:val="never"/>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6237"/>
        <w:gridCol w:w="9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42" w:type="dxa"/>
            <w:vAlign w:val="center"/>
          </w:tcPr>
          <w:p>
            <w:pPr>
              <w:spacing w:line="360" w:lineRule="auto"/>
              <w:jc w:val="center"/>
              <w:rPr>
                <w:rFonts w:cs="Times New Roman" w:asciiTheme="minorEastAsia" w:hAnsiTheme="minorEastAsia"/>
                <w:b/>
                <w:sz w:val="18"/>
                <w:szCs w:val="18"/>
              </w:rPr>
            </w:pPr>
            <w:r>
              <w:rPr>
                <w:rFonts w:hint="eastAsia" w:cs="Times New Roman" w:asciiTheme="minorEastAsia" w:hAnsiTheme="minorEastAsia"/>
                <w:b/>
                <w:sz w:val="18"/>
                <w:szCs w:val="18"/>
              </w:rPr>
              <w:t>一级指标</w:t>
            </w:r>
          </w:p>
          <w:p>
            <w:pPr>
              <w:spacing w:line="360" w:lineRule="auto"/>
              <w:jc w:val="center"/>
              <w:rPr>
                <w:rFonts w:cs="Times New Roman" w:asciiTheme="minorEastAsia" w:hAnsiTheme="minorEastAsia"/>
                <w:b/>
                <w:sz w:val="18"/>
                <w:szCs w:val="18"/>
              </w:rPr>
            </w:pPr>
            <w:r>
              <w:rPr>
                <w:rFonts w:hint="eastAsia" w:cs="Times New Roman" w:asciiTheme="minorEastAsia" w:hAnsiTheme="minorEastAsia"/>
                <w:b/>
                <w:sz w:val="18"/>
                <w:szCs w:val="18"/>
              </w:rPr>
              <w:t>（权重）</w:t>
            </w:r>
          </w:p>
        </w:tc>
        <w:tc>
          <w:tcPr>
            <w:tcW w:w="1701" w:type="dxa"/>
            <w:vAlign w:val="center"/>
          </w:tcPr>
          <w:p>
            <w:pPr>
              <w:spacing w:line="360" w:lineRule="auto"/>
              <w:jc w:val="center"/>
              <w:rPr>
                <w:rFonts w:cs="Times New Roman" w:asciiTheme="minorEastAsia" w:hAnsiTheme="minorEastAsia"/>
                <w:b/>
                <w:sz w:val="18"/>
                <w:szCs w:val="18"/>
              </w:rPr>
            </w:pPr>
            <w:r>
              <w:rPr>
                <w:rFonts w:hint="eastAsia" w:cs="Times New Roman" w:asciiTheme="minorEastAsia" w:hAnsiTheme="minorEastAsia"/>
                <w:b/>
                <w:sz w:val="18"/>
                <w:szCs w:val="18"/>
              </w:rPr>
              <w:t>二级指标</w:t>
            </w:r>
          </w:p>
        </w:tc>
        <w:tc>
          <w:tcPr>
            <w:tcW w:w="6237" w:type="dxa"/>
            <w:vAlign w:val="center"/>
          </w:tcPr>
          <w:p>
            <w:pPr>
              <w:spacing w:line="360" w:lineRule="auto"/>
              <w:ind w:left="773" w:hanging="773" w:hangingChars="428"/>
              <w:jc w:val="center"/>
              <w:rPr>
                <w:rFonts w:cs="Times New Roman" w:asciiTheme="minorEastAsia" w:hAnsiTheme="minorEastAsia"/>
                <w:b/>
                <w:sz w:val="18"/>
                <w:szCs w:val="18"/>
              </w:rPr>
            </w:pPr>
            <w:r>
              <w:rPr>
                <w:rFonts w:hint="eastAsia" w:cs="Times New Roman" w:asciiTheme="minorEastAsia" w:hAnsiTheme="minorEastAsia"/>
                <w:b/>
                <w:sz w:val="18"/>
                <w:szCs w:val="18"/>
              </w:rPr>
              <w:t>指标界定</w:t>
            </w:r>
          </w:p>
        </w:tc>
        <w:tc>
          <w:tcPr>
            <w:tcW w:w="993" w:type="dxa"/>
            <w:vAlign w:val="center"/>
          </w:tcPr>
          <w:p>
            <w:pPr>
              <w:spacing w:line="360" w:lineRule="auto"/>
              <w:ind w:right="-19" w:rightChars="-9"/>
              <w:jc w:val="center"/>
              <w:rPr>
                <w:rFonts w:cs="Times New Roman" w:asciiTheme="minorEastAsia" w:hAnsiTheme="minorEastAsia"/>
                <w:b/>
                <w:sz w:val="18"/>
                <w:szCs w:val="18"/>
              </w:rPr>
            </w:pPr>
            <w:r>
              <w:rPr>
                <w:rFonts w:hint="eastAsia" w:cs="Times New Roman" w:asciiTheme="minorEastAsia" w:hAnsiTheme="minorEastAsia"/>
                <w:b/>
                <w:sz w:val="18"/>
                <w:szCs w:val="18"/>
              </w:rPr>
              <w:t>二级指标权重</w:t>
            </w:r>
          </w:p>
        </w:tc>
        <w:tc>
          <w:tcPr>
            <w:tcW w:w="5103" w:type="dxa"/>
            <w:vAlign w:val="center"/>
          </w:tcPr>
          <w:p>
            <w:pPr>
              <w:spacing w:line="360" w:lineRule="auto"/>
              <w:ind w:left="773" w:hanging="773" w:hangingChars="428"/>
              <w:jc w:val="center"/>
              <w:rPr>
                <w:rFonts w:cs="Times New Roman" w:asciiTheme="minorEastAsia" w:hAnsiTheme="minorEastAsia"/>
                <w:b/>
                <w:sz w:val="18"/>
                <w:szCs w:val="18"/>
              </w:rPr>
            </w:pPr>
            <w:r>
              <w:rPr>
                <w:rFonts w:hint="eastAsia" w:cs="Times New Roman" w:asciiTheme="minorEastAsia" w:hAnsiTheme="minorEastAsia"/>
                <w:b/>
                <w:sz w:val="18"/>
                <w:szCs w:val="18"/>
              </w:rPr>
              <w:t>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trPr>
        <w:tc>
          <w:tcPr>
            <w:tcW w:w="1242" w:type="dxa"/>
            <w:vMerge w:val="restart"/>
            <w:vAlign w:val="center"/>
          </w:tcPr>
          <w:p>
            <w:pPr>
              <w:spacing w:line="500" w:lineRule="exact"/>
              <w:jc w:val="center"/>
              <w:rPr>
                <w:rFonts w:asciiTheme="minorEastAsia" w:hAnsiTheme="minorEastAsia"/>
                <w:b/>
                <w:color w:val="auto"/>
                <w:sz w:val="24"/>
              </w:rPr>
            </w:pPr>
            <w:r>
              <w:rPr>
                <w:rFonts w:hint="eastAsia" w:asciiTheme="minorEastAsia" w:hAnsiTheme="minorEastAsia"/>
                <w:b/>
                <w:color w:val="auto"/>
                <w:sz w:val="24"/>
              </w:rPr>
              <w:t>1.</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党</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的</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建</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设</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与</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企</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业</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文</w:t>
            </w:r>
          </w:p>
          <w:p>
            <w:pPr>
              <w:spacing w:line="500" w:lineRule="exact"/>
              <w:jc w:val="center"/>
              <w:rPr>
                <w:rFonts w:asciiTheme="minorEastAsia" w:hAnsiTheme="minorEastAsia"/>
                <w:b/>
                <w:color w:val="auto"/>
                <w:sz w:val="24"/>
              </w:rPr>
            </w:pPr>
            <w:r>
              <w:rPr>
                <w:rFonts w:hint="eastAsia" w:asciiTheme="minorEastAsia" w:hAnsiTheme="minorEastAsia"/>
                <w:b/>
                <w:color w:val="auto"/>
                <w:sz w:val="24"/>
              </w:rPr>
              <w:t>化</w:t>
            </w:r>
          </w:p>
          <w:p>
            <w:pPr>
              <w:spacing w:line="500" w:lineRule="exact"/>
              <w:jc w:val="center"/>
              <w:rPr>
                <w:rFonts w:cs="Times New Roman" w:asciiTheme="minorEastAsia" w:hAnsiTheme="minorEastAsia"/>
                <w:b/>
                <w:color w:val="auto"/>
                <w:sz w:val="18"/>
                <w:szCs w:val="18"/>
              </w:rPr>
            </w:pPr>
            <w:r>
              <w:rPr>
                <w:rFonts w:hint="eastAsia" w:asciiTheme="minorEastAsia" w:hAnsiTheme="minorEastAsia"/>
                <w:b/>
                <w:color w:val="auto"/>
                <w:sz w:val="24"/>
              </w:rPr>
              <w:t>（10）</w:t>
            </w:r>
          </w:p>
        </w:tc>
        <w:tc>
          <w:tcPr>
            <w:tcW w:w="1701" w:type="dxa"/>
            <w:vAlign w:val="center"/>
          </w:tcPr>
          <w:p>
            <w:pPr>
              <w:jc w:val="center"/>
              <w:rPr>
                <w:rFonts w:cs="Times New Roman" w:asciiTheme="minorEastAsia" w:hAnsiTheme="minorEastAsia"/>
                <w:color w:val="auto"/>
                <w:sz w:val="18"/>
                <w:szCs w:val="18"/>
              </w:rPr>
            </w:pPr>
            <w:r>
              <w:rPr>
                <w:rFonts w:hint="eastAsia" w:cs="Times New Roman" w:asciiTheme="minorEastAsia" w:hAnsiTheme="minorEastAsia"/>
                <w:color w:val="auto"/>
                <w:sz w:val="18"/>
                <w:szCs w:val="18"/>
              </w:rPr>
              <w:t>1.1党的建设</w:t>
            </w:r>
          </w:p>
        </w:tc>
        <w:tc>
          <w:tcPr>
            <w:tcW w:w="6237" w:type="dxa"/>
            <w:vAlign w:val="center"/>
          </w:tcPr>
          <w:p>
            <w:pPr>
              <w:ind w:firstLine="360" w:firstLineChars="200"/>
              <w:rPr>
                <w:rFonts w:cs="Times New Roman" w:asciiTheme="minorEastAsia" w:hAnsiTheme="minorEastAsia"/>
                <w:color w:val="auto"/>
                <w:sz w:val="18"/>
                <w:szCs w:val="18"/>
              </w:rPr>
            </w:pPr>
            <w:r>
              <w:rPr>
                <w:rFonts w:hint="eastAsia" w:asciiTheme="minorEastAsia" w:hAnsiTheme="minorEastAsia"/>
                <w:color w:val="auto"/>
                <w:sz w:val="18"/>
                <w:szCs w:val="18"/>
              </w:rPr>
              <w:t>党的建设,指企业依据规定，设立了中国共产党基层组织，包括党支部、党总支、基层党委</w:t>
            </w:r>
            <w:r>
              <w:rPr>
                <w:rFonts w:hint="eastAsia" w:asciiTheme="minorEastAsia" w:hAnsiTheme="minorEastAsia"/>
                <w:color w:val="auto"/>
                <w:sz w:val="18"/>
                <w:szCs w:val="18"/>
                <w:lang w:eastAsia="zh-CN"/>
              </w:rPr>
              <w:t>以及</w:t>
            </w:r>
            <w:r>
              <w:rPr>
                <w:rFonts w:hint="eastAsia" w:asciiTheme="minorEastAsia" w:hAnsiTheme="minorEastAsia"/>
                <w:color w:val="auto"/>
                <w:sz w:val="18"/>
                <w:szCs w:val="18"/>
              </w:rPr>
              <w:t>经上级党委批准的企业联合党支部，并认真开展党的组织活动与思想建设，凝聚企业员工活力，促进企业依法经营，大力推进企业品牌建设，不断提升企业品牌价值。</w:t>
            </w:r>
          </w:p>
        </w:tc>
        <w:tc>
          <w:tcPr>
            <w:tcW w:w="993" w:type="dxa"/>
            <w:vAlign w:val="center"/>
          </w:tcPr>
          <w:p>
            <w:pPr>
              <w:jc w:val="center"/>
              <w:rPr>
                <w:rFonts w:cs="Times New Roman" w:asciiTheme="minorEastAsia" w:hAnsiTheme="minorEastAsia"/>
                <w:color w:val="auto"/>
                <w:sz w:val="18"/>
                <w:szCs w:val="18"/>
              </w:rPr>
            </w:pPr>
            <w:r>
              <w:rPr>
                <w:rFonts w:hint="eastAsia" w:asciiTheme="minorEastAsia" w:hAnsiTheme="minorEastAsia"/>
                <w:b/>
                <w:color w:val="auto"/>
                <w:sz w:val="18"/>
                <w:szCs w:val="18"/>
                <w:u w:val="single"/>
              </w:rPr>
              <w:t>5</w:t>
            </w:r>
          </w:p>
        </w:tc>
        <w:tc>
          <w:tcPr>
            <w:tcW w:w="5103" w:type="dxa"/>
            <w:vAlign w:val="center"/>
          </w:tcPr>
          <w:p>
            <w:pPr>
              <w:ind w:firstLine="360" w:firstLineChars="200"/>
              <w:rPr>
                <w:rFonts w:cs="Times New Roman" w:asciiTheme="minorEastAsia" w:hAnsiTheme="minorEastAsia"/>
                <w:color w:val="auto"/>
                <w:sz w:val="18"/>
                <w:szCs w:val="18"/>
                <w:u w:val="single"/>
              </w:rPr>
            </w:pPr>
            <w:r>
              <w:rPr>
                <w:rFonts w:hint="eastAsia" w:asciiTheme="minorEastAsia" w:hAnsiTheme="minorEastAsia"/>
                <w:color w:val="auto"/>
                <w:sz w:val="18"/>
                <w:szCs w:val="18"/>
              </w:rPr>
              <w:t>组织机构健全，党组织办公地点及党员活动场所固定，并有体现党的基本宗旨的文化氛围，计1分；组织生活健全，坚持“三会一课”，认真执行党的规矩与纪律，党员严格遵守规矩与纪律的，计1分；认真开展党的思想教育，党员在企业的模范带头作用明显，计1分；以党的基本宗旨，社会主义核心价值观统领企业品牌建设、不断提升企业品牌价值的，计1分；获得上级党组织授予“先进党支部（总支）”、“先进基层党委”荣誉称号的计1分。未按规定建立党组织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242" w:type="dxa"/>
            <w:vMerge w:val="continue"/>
            <w:vAlign w:val="center"/>
          </w:tcPr>
          <w:p>
            <w:pPr>
              <w:spacing w:line="720" w:lineRule="auto"/>
              <w:jc w:val="center"/>
              <w:rPr>
                <w:rFonts w:cs="Times New Roman" w:asciiTheme="minorEastAsia" w:hAnsiTheme="minorEastAsia"/>
                <w:b/>
                <w:color w:val="auto"/>
                <w:sz w:val="18"/>
                <w:szCs w:val="18"/>
              </w:rPr>
            </w:pPr>
          </w:p>
        </w:tc>
        <w:tc>
          <w:tcPr>
            <w:tcW w:w="1701" w:type="dxa"/>
            <w:vAlign w:val="center"/>
          </w:tcPr>
          <w:p>
            <w:pPr>
              <w:jc w:val="center"/>
              <w:rPr>
                <w:rFonts w:cs="Times New Roman" w:asciiTheme="minorEastAsia" w:hAnsiTheme="minorEastAsia"/>
                <w:color w:val="auto"/>
                <w:sz w:val="18"/>
                <w:szCs w:val="18"/>
              </w:rPr>
            </w:pPr>
            <w:r>
              <w:rPr>
                <w:rFonts w:hint="eastAsia" w:cs="Times New Roman" w:asciiTheme="minorEastAsia" w:hAnsiTheme="minorEastAsia"/>
                <w:color w:val="auto"/>
                <w:sz w:val="18"/>
                <w:szCs w:val="18"/>
              </w:rPr>
              <w:t>1.2企业文化氛围</w:t>
            </w:r>
          </w:p>
        </w:tc>
        <w:tc>
          <w:tcPr>
            <w:tcW w:w="6237" w:type="dxa"/>
            <w:vAlign w:val="center"/>
          </w:tcPr>
          <w:p>
            <w:pPr>
              <w:ind w:firstLine="360" w:firstLineChars="200"/>
              <w:rPr>
                <w:rFonts w:cs="Times New Roman" w:asciiTheme="minorEastAsia" w:hAnsiTheme="minorEastAsia"/>
                <w:color w:val="auto"/>
                <w:sz w:val="18"/>
                <w:szCs w:val="18"/>
              </w:rPr>
            </w:pPr>
            <w:r>
              <w:rPr>
                <w:rFonts w:hint="eastAsia" w:asciiTheme="minorEastAsia" w:hAnsiTheme="minorEastAsia"/>
                <w:color w:val="auto"/>
                <w:sz w:val="18"/>
                <w:szCs w:val="18"/>
              </w:rPr>
              <w:t>企业文化氛围，指企业具有本企业特质、体现企业核心价值理念、激励员工的精神力量，促进企业核心竞争力的打造与形成。</w:t>
            </w:r>
          </w:p>
        </w:tc>
        <w:tc>
          <w:tcPr>
            <w:tcW w:w="993" w:type="dxa"/>
            <w:vAlign w:val="center"/>
          </w:tcPr>
          <w:p>
            <w:pPr>
              <w:jc w:val="center"/>
              <w:rPr>
                <w:rFonts w:cs="Times New Roman" w:asciiTheme="minorEastAsia" w:hAnsiTheme="minorEastAsia"/>
                <w:color w:val="auto"/>
                <w:sz w:val="18"/>
                <w:szCs w:val="18"/>
              </w:rPr>
            </w:pPr>
            <w:r>
              <w:rPr>
                <w:rFonts w:hint="eastAsia" w:asciiTheme="minorEastAsia" w:hAnsiTheme="minorEastAsia"/>
                <w:b/>
                <w:color w:val="auto"/>
                <w:sz w:val="18"/>
                <w:szCs w:val="18"/>
                <w:u w:val="single"/>
              </w:rPr>
              <w:t>1</w:t>
            </w:r>
          </w:p>
        </w:tc>
        <w:tc>
          <w:tcPr>
            <w:tcW w:w="5103" w:type="dxa"/>
            <w:vAlign w:val="center"/>
          </w:tcPr>
          <w:p>
            <w:pPr>
              <w:rPr>
                <w:rFonts w:cs="Times New Roman" w:asciiTheme="minorEastAsia" w:hAnsiTheme="minorEastAsia"/>
                <w:color w:val="auto"/>
                <w:sz w:val="18"/>
                <w:szCs w:val="18"/>
              </w:rPr>
            </w:pPr>
            <w:r>
              <w:rPr>
                <w:rFonts w:hint="eastAsia" w:cs="Times New Roman" w:asciiTheme="minorEastAsia" w:hAnsiTheme="minorEastAsia"/>
                <w:color w:val="auto"/>
                <w:sz w:val="18"/>
                <w:szCs w:val="18"/>
              </w:rPr>
              <w:t xml:space="preserve">    </w:t>
            </w:r>
            <w:r>
              <w:rPr>
                <w:rFonts w:hint="eastAsia" w:asciiTheme="minorEastAsia" w:hAnsiTheme="minorEastAsia"/>
                <w:color w:val="auto"/>
                <w:sz w:val="18"/>
                <w:szCs w:val="18"/>
              </w:rPr>
              <w:t>企业制定了成文的、简明扼要的企业文化，有打造企业核心竞争力目标，有体现企业文化内涵的标识或企业徽章，实行统一工装，经常组织企业文化的拓展训练及文体活动，企业文化被员工认同与践行计1分。没有成文的企业文化与打造企业核心竞争力目标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242" w:type="dxa"/>
            <w:vMerge w:val="continue"/>
            <w:vAlign w:val="center"/>
          </w:tcPr>
          <w:p>
            <w:pPr>
              <w:spacing w:line="720" w:lineRule="auto"/>
              <w:jc w:val="center"/>
              <w:rPr>
                <w:rFonts w:cs="Times New Roman" w:asciiTheme="minorEastAsia" w:hAnsiTheme="minorEastAsia"/>
                <w:b/>
                <w:color w:val="auto"/>
                <w:sz w:val="18"/>
                <w:szCs w:val="18"/>
              </w:rPr>
            </w:pPr>
          </w:p>
        </w:tc>
        <w:tc>
          <w:tcPr>
            <w:tcW w:w="1701" w:type="dxa"/>
            <w:vAlign w:val="center"/>
          </w:tcPr>
          <w:p>
            <w:pPr>
              <w:jc w:val="center"/>
              <w:rPr>
                <w:rFonts w:cs="Times New Roman" w:asciiTheme="minorEastAsia" w:hAnsiTheme="minorEastAsia"/>
                <w:color w:val="auto"/>
                <w:sz w:val="18"/>
                <w:szCs w:val="18"/>
              </w:rPr>
            </w:pPr>
            <w:r>
              <w:rPr>
                <w:rFonts w:hint="eastAsia" w:cs="Times New Roman" w:asciiTheme="minorEastAsia" w:hAnsiTheme="minorEastAsia"/>
                <w:color w:val="auto"/>
                <w:sz w:val="18"/>
                <w:szCs w:val="18"/>
              </w:rPr>
              <w:t>1.3受政府部门或行业协会表彰情况</w:t>
            </w:r>
          </w:p>
        </w:tc>
        <w:tc>
          <w:tcPr>
            <w:tcW w:w="6237" w:type="dxa"/>
            <w:vAlign w:val="center"/>
          </w:tcPr>
          <w:p>
            <w:pPr>
              <w:ind w:firstLine="360" w:firstLineChars="200"/>
              <w:rPr>
                <w:rFonts w:cs="Times New Roman" w:asciiTheme="minorEastAsia" w:hAnsiTheme="minorEastAsia"/>
                <w:color w:val="auto"/>
                <w:sz w:val="18"/>
                <w:szCs w:val="18"/>
              </w:rPr>
            </w:pPr>
            <w:r>
              <w:rPr>
                <w:rFonts w:hint="eastAsia" w:asciiTheme="minorEastAsia" w:hAnsiTheme="minorEastAsia"/>
                <w:color w:val="auto"/>
                <w:sz w:val="18"/>
                <w:szCs w:val="18"/>
              </w:rPr>
              <w:t>受政府部门或行业协会表彰情况，指企业在评价期内受到的市级（不含县级市）以上住建部门和省级以上造价行业协会授予荣誉称号的表彰。</w:t>
            </w:r>
          </w:p>
        </w:tc>
        <w:tc>
          <w:tcPr>
            <w:tcW w:w="993" w:type="dxa"/>
            <w:vAlign w:val="center"/>
          </w:tcPr>
          <w:p>
            <w:pPr>
              <w:jc w:val="center"/>
              <w:rPr>
                <w:rFonts w:cs="Times New Roman" w:asciiTheme="minorEastAsia" w:hAnsiTheme="minorEastAsia"/>
                <w:color w:val="auto"/>
                <w:sz w:val="18"/>
                <w:szCs w:val="18"/>
              </w:rPr>
            </w:pPr>
            <w:r>
              <w:rPr>
                <w:rFonts w:hint="eastAsia" w:asciiTheme="minorEastAsia" w:hAnsiTheme="minorEastAsia"/>
                <w:b/>
                <w:color w:val="auto"/>
                <w:sz w:val="18"/>
                <w:szCs w:val="18"/>
                <w:u w:val="single"/>
              </w:rPr>
              <w:t>2</w:t>
            </w:r>
          </w:p>
        </w:tc>
        <w:tc>
          <w:tcPr>
            <w:tcW w:w="5103" w:type="dxa"/>
            <w:vAlign w:val="center"/>
          </w:tcPr>
          <w:p>
            <w:pPr>
              <w:rPr>
                <w:rFonts w:cs="Times New Roman" w:asciiTheme="minorEastAsia" w:hAnsiTheme="minorEastAsia"/>
                <w:color w:val="auto"/>
                <w:sz w:val="18"/>
                <w:szCs w:val="18"/>
              </w:rPr>
            </w:pPr>
            <w:r>
              <w:rPr>
                <w:rFonts w:hint="eastAsia" w:asciiTheme="minorEastAsia" w:hAnsiTheme="minorEastAsia"/>
                <w:color w:val="auto"/>
                <w:sz w:val="18"/>
                <w:szCs w:val="18"/>
              </w:rPr>
              <w:t xml:space="preserve">    受到一次全国性表彰，计1分，一次省级及其以下表彰，计0.5分；评价期内获多项表彰，可以</w:t>
            </w:r>
            <w:r>
              <w:rPr>
                <w:rFonts w:hint="eastAsia" w:asciiTheme="minorEastAsia" w:hAnsiTheme="minorEastAsia"/>
                <w:color w:val="auto"/>
                <w:sz w:val="18"/>
                <w:szCs w:val="18"/>
                <w:lang w:eastAsia="zh-CN"/>
              </w:rPr>
              <w:t>累</w:t>
            </w:r>
            <w:r>
              <w:rPr>
                <w:rFonts w:hint="eastAsia" w:asciiTheme="minorEastAsia" w:hAnsiTheme="minorEastAsia"/>
                <w:color w:val="auto"/>
                <w:sz w:val="18"/>
                <w:szCs w:val="18"/>
              </w:rPr>
              <w:t>计加分，</w:t>
            </w:r>
            <w:r>
              <w:rPr>
                <w:rFonts w:hint="eastAsia" w:asciiTheme="minorEastAsia" w:hAnsiTheme="minorEastAsia"/>
                <w:color w:val="auto"/>
                <w:sz w:val="18"/>
                <w:szCs w:val="18"/>
                <w:lang w:eastAsia="zh-CN"/>
              </w:rPr>
              <w:t>但</w:t>
            </w:r>
            <w:r>
              <w:rPr>
                <w:rFonts w:hint="eastAsia" w:asciiTheme="minorEastAsia" w:hAnsiTheme="minorEastAsia"/>
                <w:color w:val="auto"/>
                <w:sz w:val="18"/>
                <w:szCs w:val="18"/>
              </w:rPr>
              <w:t>不</w:t>
            </w:r>
            <w:r>
              <w:rPr>
                <w:rFonts w:hint="eastAsia" w:asciiTheme="minorEastAsia" w:hAnsiTheme="minorEastAsia"/>
                <w:color w:val="auto"/>
                <w:sz w:val="18"/>
                <w:szCs w:val="18"/>
                <w:lang w:eastAsia="zh-CN"/>
              </w:rPr>
              <w:t>得</w:t>
            </w:r>
            <w:r>
              <w:rPr>
                <w:rFonts w:hint="eastAsia" w:asciiTheme="minorEastAsia" w:hAnsiTheme="minorEastAsia"/>
                <w:color w:val="auto"/>
                <w:sz w:val="18"/>
                <w:szCs w:val="18"/>
              </w:rPr>
              <w:t>超过权重</w:t>
            </w:r>
            <w:r>
              <w:rPr>
                <w:rFonts w:hint="eastAsia" w:asciiTheme="minorEastAsia" w:hAnsiTheme="minorEastAsia"/>
                <w:color w:val="auto"/>
                <w:sz w:val="18"/>
                <w:szCs w:val="18"/>
                <w:lang w:eastAsia="zh-CN"/>
              </w:rPr>
              <w:t>值</w:t>
            </w:r>
            <w:r>
              <w:rPr>
                <w:rFonts w:hint="eastAsia" w:asciiTheme="minorEastAsia" w:hAnsi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242" w:type="dxa"/>
            <w:vMerge w:val="continue"/>
            <w:vAlign w:val="center"/>
          </w:tcPr>
          <w:p>
            <w:pPr>
              <w:spacing w:line="720" w:lineRule="auto"/>
              <w:jc w:val="center"/>
              <w:rPr>
                <w:rFonts w:cs="Times New Roman" w:asciiTheme="minorEastAsia" w:hAnsiTheme="minorEastAsia"/>
                <w:b/>
                <w:color w:val="auto"/>
                <w:sz w:val="18"/>
                <w:szCs w:val="18"/>
              </w:rPr>
            </w:pPr>
          </w:p>
        </w:tc>
        <w:tc>
          <w:tcPr>
            <w:tcW w:w="1701" w:type="dxa"/>
            <w:vAlign w:val="center"/>
          </w:tcPr>
          <w:p>
            <w:pPr>
              <w:jc w:val="center"/>
              <w:rPr>
                <w:rFonts w:cs="Times New Roman" w:asciiTheme="minorEastAsia" w:hAnsiTheme="minorEastAsia"/>
                <w:color w:val="auto"/>
                <w:sz w:val="18"/>
                <w:szCs w:val="18"/>
              </w:rPr>
            </w:pPr>
            <w:r>
              <w:rPr>
                <w:rFonts w:hint="eastAsia" w:cs="Times New Roman" w:asciiTheme="minorEastAsia" w:hAnsiTheme="minorEastAsia"/>
                <w:color w:val="auto"/>
                <w:sz w:val="18"/>
                <w:szCs w:val="18"/>
              </w:rPr>
              <w:t>1.4</w:t>
            </w:r>
            <w:r>
              <w:rPr>
                <w:rFonts w:hint="eastAsia" w:asciiTheme="minorEastAsia" w:hAnsiTheme="minorEastAsia"/>
                <w:color w:val="auto"/>
                <w:sz w:val="18"/>
                <w:szCs w:val="18"/>
              </w:rPr>
              <w:t>参与执法或自律检查业绩</w:t>
            </w:r>
          </w:p>
        </w:tc>
        <w:tc>
          <w:tcPr>
            <w:tcW w:w="6237" w:type="dxa"/>
            <w:vAlign w:val="center"/>
          </w:tcPr>
          <w:p>
            <w:pPr>
              <w:rPr>
                <w:rFonts w:cs="Times New Roman" w:asciiTheme="minorEastAsia" w:hAnsiTheme="minorEastAsia"/>
                <w:color w:val="auto"/>
                <w:sz w:val="18"/>
                <w:szCs w:val="18"/>
                <w:u w:val="single"/>
              </w:rPr>
            </w:pPr>
            <w:r>
              <w:rPr>
                <w:rFonts w:hint="eastAsia" w:asciiTheme="minorEastAsia" w:hAnsiTheme="minorEastAsia"/>
                <w:color w:val="auto"/>
                <w:sz w:val="18"/>
                <w:szCs w:val="18"/>
              </w:rPr>
              <w:t xml:space="preserve">    参与执法或自律检查业绩，指企业派出业务骨干（含省专家委会成员）参与省级以上住建部门（含造价管理机构）的执法检查或省造价协会组织的自律检查的人次。</w:t>
            </w:r>
          </w:p>
        </w:tc>
        <w:tc>
          <w:tcPr>
            <w:tcW w:w="993" w:type="dxa"/>
            <w:vAlign w:val="center"/>
          </w:tcPr>
          <w:p>
            <w:pPr>
              <w:jc w:val="center"/>
              <w:rPr>
                <w:rFonts w:cs="Times New Roman" w:asciiTheme="minorEastAsia" w:hAnsiTheme="minorEastAsia"/>
                <w:color w:val="auto"/>
                <w:sz w:val="18"/>
                <w:szCs w:val="18"/>
              </w:rPr>
            </w:pPr>
            <w:r>
              <w:rPr>
                <w:rFonts w:hint="eastAsia" w:asciiTheme="minorEastAsia" w:hAnsiTheme="minorEastAsia"/>
                <w:b/>
                <w:color w:val="auto"/>
                <w:sz w:val="18"/>
                <w:szCs w:val="18"/>
                <w:u w:val="single"/>
              </w:rPr>
              <w:t>2</w:t>
            </w:r>
          </w:p>
        </w:tc>
        <w:tc>
          <w:tcPr>
            <w:tcW w:w="5103" w:type="dxa"/>
            <w:vAlign w:val="center"/>
          </w:tcPr>
          <w:p>
            <w:pPr>
              <w:ind w:firstLine="360" w:firstLineChars="200"/>
              <w:rPr>
                <w:rFonts w:cs="Times New Roman"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tc>
      </w:tr>
    </w:tbl>
    <w:p>
      <w:pPr>
        <w:spacing w:line="440" w:lineRule="exact"/>
        <w:jc w:val="center"/>
        <w:rPr>
          <w:rFonts w:hint="eastAsia" w:ascii="黑体" w:hAnsi="黑体" w:eastAsia="黑体" w:cs="黑体"/>
          <w:b/>
          <w:sz w:val="36"/>
          <w:szCs w:val="36"/>
          <w:u w:val="single"/>
        </w:rPr>
      </w:pPr>
    </w:p>
    <w:p>
      <w:pPr>
        <w:spacing w:line="440" w:lineRule="exact"/>
        <w:jc w:val="center"/>
        <w:rPr>
          <w:rFonts w:hint="eastAsia" w:ascii="黑体" w:hAnsi="黑体" w:eastAsia="黑体" w:cs="黑体"/>
          <w:b/>
          <w:sz w:val="36"/>
          <w:szCs w:val="36"/>
          <w:u w:val="single"/>
        </w:rPr>
      </w:pPr>
    </w:p>
    <w:tbl>
      <w:tblPr>
        <w:tblStyle w:val="4"/>
        <w:tblpPr w:leftFromText="180" w:rightFromText="180" w:vertAnchor="text" w:horzAnchor="page" w:tblpX="908" w:tblpY="463"/>
        <w:tblOverlap w:val="never"/>
        <w:tblW w:w="15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918"/>
        <w:gridCol w:w="6382"/>
        <w:gridCol w:w="848"/>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25" w:type="dxa"/>
            <w:vMerge w:val="restart"/>
            <w:vAlign w:val="center"/>
          </w:tcPr>
          <w:p>
            <w:pPr>
              <w:spacing w:line="560" w:lineRule="exact"/>
              <w:jc w:val="center"/>
              <w:rPr>
                <w:rFonts w:asciiTheme="minorEastAsia" w:hAnsiTheme="minorEastAsia"/>
                <w:b/>
                <w:color w:val="auto"/>
                <w:sz w:val="18"/>
                <w:szCs w:val="18"/>
              </w:rPr>
            </w:pPr>
            <w:r>
              <w:rPr>
                <w:rFonts w:hint="eastAsia" w:asciiTheme="minorEastAsia" w:hAnsiTheme="minorEastAsia"/>
                <w:b/>
                <w:color w:val="auto"/>
                <w:sz w:val="24"/>
              </w:rPr>
              <w:t>2.</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人</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才</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状</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况</w:t>
            </w:r>
          </w:p>
          <w:p>
            <w:pPr>
              <w:spacing w:line="560" w:lineRule="exact"/>
              <w:jc w:val="center"/>
              <w:rPr>
                <w:rFonts w:asciiTheme="minorEastAsia" w:hAnsiTheme="minorEastAsia"/>
                <w:b/>
                <w:color w:val="auto"/>
                <w:sz w:val="18"/>
                <w:szCs w:val="18"/>
              </w:rPr>
            </w:pPr>
            <w:r>
              <w:rPr>
                <w:rFonts w:hint="eastAsia" w:asciiTheme="minorEastAsia" w:hAnsiTheme="minorEastAsia"/>
                <w:b/>
                <w:color w:val="auto"/>
                <w:sz w:val="24"/>
              </w:rPr>
              <w:t>（21）</w:t>
            </w:r>
          </w:p>
        </w:tc>
        <w:tc>
          <w:tcPr>
            <w:tcW w:w="1918" w:type="dxa"/>
            <w:vAlign w:val="center"/>
          </w:tcPr>
          <w:p>
            <w:pPr>
              <w:jc w:val="center"/>
              <w:rPr>
                <w:rFonts w:asciiTheme="minorEastAsia" w:hAnsiTheme="minorEastAsia"/>
                <w:color w:val="auto"/>
                <w:sz w:val="18"/>
                <w:szCs w:val="18"/>
                <w:u w:val="single"/>
              </w:rPr>
            </w:pPr>
            <w:r>
              <w:rPr>
                <w:rFonts w:hint="eastAsia" w:asciiTheme="minorEastAsia" w:hAnsiTheme="minorEastAsia"/>
                <w:color w:val="auto"/>
                <w:sz w:val="18"/>
                <w:szCs w:val="18"/>
              </w:rPr>
              <w:t>2.1注册造价工程师人数</w:t>
            </w:r>
          </w:p>
        </w:tc>
        <w:tc>
          <w:tcPr>
            <w:tcW w:w="6382"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注册造价工程师人数,指在企业注册并在企业执业的一级、二级造价工程师的</w:t>
            </w:r>
            <w:r>
              <w:rPr>
                <w:rFonts w:hint="eastAsia" w:asciiTheme="minorEastAsia" w:hAnsiTheme="minorEastAsia"/>
                <w:color w:val="auto"/>
                <w:sz w:val="18"/>
                <w:szCs w:val="18"/>
                <w:lang w:eastAsia="zh-CN"/>
              </w:rPr>
              <w:t>各自数量与</w:t>
            </w:r>
            <w:r>
              <w:rPr>
                <w:rFonts w:hint="eastAsia" w:asciiTheme="minorEastAsia" w:hAnsiTheme="minorEastAsia"/>
                <w:color w:val="auto"/>
                <w:sz w:val="18"/>
                <w:szCs w:val="18"/>
              </w:rPr>
              <w:t>合计数量。</w:t>
            </w:r>
          </w:p>
        </w:tc>
        <w:tc>
          <w:tcPr>
            <w:tcW w:w="848" w:type="dxa"/>
            <w:vAlign w:val="center"/>
          </w:tcPr>
          <w:p>
            <w:pPr>
              <w:jc w:val="center"/>
              <w:rPr>
                <w:rFonts w:asciiTheme="minorEastAsia" w:hAnsiTheme="minorEastAsia"/>
                <w:color w:val="auto"/>
                <w:sz w:val="18"/>
                <w:szCs w:val="18"/>
              </w:rPr>
            </w:pPr>
            <w:r>
              <w:rPr>
                <w:rFonts w:hint="eastAsia" w:asciiTheme="minorEastAsia" w:hAnsiTheme="minorEastAsia"/>
                <w:b/>
                <w:color w:val="auto"/>
                <w:sz w:val="18"/>
                <w:szCs w:val="18"/>
                <w:u w:val="single"/>
              </w:rPr>
              <w:t>5</w:t>
            </w:r>
          </w:p>
        </w:tc>
        <w:tc>
          <w:tcPr>
            <w:tcW w:w="5119" w:type="dxa"/>
            <w:vAlign w:val="center"/>
          </w:tcPr>
          <w:p>
            <w:pPr>
              <w:jc w:val="center"/>
              <w:rPr>
                <w:rFonts w:hint="default" w:asciiTheme="minorEastAsia" w:hAnsiTheme="minorEastAsia" w:eastAsiaTheme="minorEastAsia"/>
                <w:color w:val="auto"/>
                <w:sz w:val="18"/>
                <w:szCs w:val="18"/>
                <w:lang w:val="en-US" w:eastAsia="zh-CN"/>
              </w:rPr>
            </w:pPr>
            <w:r>
              <w:rPr>
                <w:rFonts w:hint="eastAsia" w:asciiTheme="minorEastAsia" w:hAnsiTheme="minorEastAsia"/>
                <w:color w:val="auto"/>
                <w:sz w:val="18"/>
                <w:szCs w:val="18"/>
                <w:lang w:eastAsia="zh-CN"/>
              </w:rPr>
              <w:t>依一级、二级造价工程师各自数量，按</w:t>
            </w:r>
            <w:r>
              <w:rPr>
                <w:rFonts w:hint="eastAsia" w:asciiTheme="minorEastAsia" w:hAnsiTheme="minorEastAsia"/>
                <w:color w:val="auto"/>
                <w:sz w:val="18"/>
                <w:szCs w:val="18"/>
              </w:rPr>
              <w:t>“5.2工程造价咨询业务收入”计分办法</w:t>
            </w:r>
            <w:r>
              <w:rPr>
                <w:rFonts w:hint="eastAsia" w:asciiTheme="minorEastAsia" w:hAnsiTheme="minorEastAsia"/>
                <w:color w:val="auto"/>
                <w:sz w:val="18"/>
                <w:szCs w:val="18"/>
                <w:lang w:eastAsia="zh-CN"/>
              </w:rPr>
              <w:t>，一级权重占</w:t>
            </w:r>
            <w:r>
              <w:rPr>
                <w:rFonts w:hint="eastAsia" w:asciiTheme="minorEastAsia" w:hAnsiTheme="minorEastAsia"/>
                <w:color w:val="auto"/>
                <w:sz w:val="18"/>
                <w:szCs w:val="18"/>
                <w:lang w:val="en-US" w:eastAsia="zh-CN"/>
              </w:rPr>
              <w:t>3，二级权重占2，分别计分。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5" w:type="dxa"/>
            <w:vMerge w:val="continue"/>
            <w:vAlign w:val="center"/>
          </w:tcPr>
          <w:p>
            <w:pPr>
              <w:spacing w:line="560" w:lineRule="exact"/>
              <w:jc w:val="center"/>
              <w:rPr>
                <w:rFonts w:asciiTheme="minorEastAsia" w:hAnsiTheme="minorEastAsia"/>
                <w:b/>
                <w:color w:val="auto"/>
                <w:sz w:val="18"/>
                <w:szCs w:val="18"/>
              </w:rPr>
            </w:pPr>
          </w:p>
        </w:tc>
        <w:tc>
          <w:tcPr>
            <w:tcW w:w="191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2.2具有其他建设类注册一级执业资格的人数</w:t>
            </w:r>
          </w:p>
        </w:tc>
        <w:tc>
          <w:tcPr>
            <w:tcW w:w="6382"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具有其他建设类注册一级执业资格,指工程设计类的注册一级建筑师、注册一级结构工程师以及其他专业注册一级工程师；施工类的注册一级建造师；监理类的国家注册监理工程师。取得咨询工程师（投资）“职业水平证书”和“登记证书”的专业人员，视为具有其他建设类一级执业资格。</w:t>
            </w:r>
          </w:p>
        </w:tc>
        <w:tc>
          <w:tcPr>
            <w:tcW w:w="848" w:type="dxa"/>
            <w:vAlign w:val="center"/>
          </w:tcPr>
          <w:p>
            <w:pPr>
              <w:jc w:val="center"/>
              <w:rPr>
                <w:rFonts w:asciiTheme="minorEastAsia" w:hAnsiTheme="minorEastAsia"/>
                <w:color w:val="auto"/>
                <w:sz w:val="18"/>
                <w:szCs w:val="18"/>
              </w:rPr>
            </w:pPr>
            <w:r>
              <w:rPr>
                <w:rFonts w:hint="eastAsia" w:asciiTheme="minorEastAsia" w:hAnsiTheme="minorEastAsia"/>
                <w:b/>
                <w:color w:val="auto"/>
                <w:sz w:val="18"/>
                <w:szCs w:val="18"/>
                <w:u w:val="single"/>
              </w:rPr>
              <w:t>2</w:t>
            </w:r>
          </w:p>
        </w:tc>
        <w:tc>
          <w:tcPr>
            <w:tcW w:w="511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025" w:type="dxa"/>
            <w:vMerge w:val="continue"/>
            <w:vAlign w:val="center"/>
          </w:tcPr>
          <w:p>
            <w:pPr>
              <w:spacing w:line="720" w:lineRule="auto"/>
              <w:jc w:val="center"/>
              <w:rPr>
                <w:rFonts w:asciiTheme="minorEastAsia" w:hAnsiTheme="minorEastAsia"/>
                <w:b/>
                <w:color w:val="auto"/>
                <w:sz w:val="18"/>
                <w:szCs w:val="18"/>
              </w:rPr>
            </w:pPr>
          </w:p>
        </w:tc>
        <w:tc>
          <w:tcPr>
            <w:tcW w:w="191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2.3企业高端人才与复合型人才数量</w:t>
            </w:r>
          </w:p>
        </w:tc>
        <w:tc>
          <w:tcPr>
            <w:tcW w:w="6382" w:type="dxa"/>
            <w:vAlign w:val="bottom"/>
          </w:tcPr>
          <w:p>
            <w:pPr>
              <w:ind w:firstLine="360" w:firstLineChars="200"/>
              <w:rPr>
                <w:rFonts w:hint="eastAsia" w:asciiTheme="minorEastAsia" w:hAnsiTheme="minorEastAsia"/>
                <w:color w:val="auto"/>
                <w:sz w:val="18"/>
                <w:szCs w:val="18"/>
              </w:rPr>
            </w:pPr>
            <w:r>
              <w:rPr>
                <w:rFonts w:hint="eastAsia" w:asciiTheme="minorEastAsia" w:hAnsiTheme="minorEastAsia"/>
                <w:color w:val="auto"/>
                <w:sz w:val="18"/>
                <w:szCs w:val="18"/>
              </w:rPr>
              <w:t>企业高端人才，指企业引进或自行培养的具有正高级工程师业务技术职称或具有博士学历文凭，且至少具有一项建设类一级注册执业资格的专业技术人员；企业复合型人才，指企业引进或自行培养的具有两个及以上建设类一级注册执业资格的人才。</w:t>
            </w:r>
          </w:p>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企业高端人才与复合型人才，必须是与企业签订用工合同，且缴纳社会保险的人员，不得包括临时聘用或外部协作的人员。</w:t>
            </w:r>
          </w:p>
        </w:tc>
        <w:tc>
          <w:tcPr>
            <w:tcW w:w="848"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w:t>
            </w:r>
          </w:p>
        </w:tc>
        <w:tc>
          <w:tcPr>
            <w:tcW w:w="511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025" w:type="dxa"/>
            <w:vMerge w:val="continue"/>
            <w:vAlign w:val="center"/>
          </w:tcPr>
          <w:p>
            <w:pPr>
              <w:spacing w:line="720" w:lineRule="auto"/>
              <w:jc w:val="center"/>
              <w:rPr>
                <w:rFonts w:asciiTheme="minorEastAsia" w:hAnsiTheme="minorEastAsia"/>
                <w:b/>
                <w:color w:val="auto"/>
                <w:sz w:val="18"/>
                <w:szCs w:val="18"/>
              </w:rPr>
            </w:pPr>
          </w:p>
        </w:tc>
        <w:tc>
          <w:tcPr>
            <w:tcW w:w="191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2.4注册造价工程</w:t>
            </w:r>
          </w:p>
          <w:p>
            <w:pPr>
              <w:jc w:val="center"/>
              <w:rPr>
                <w:rFonts w:asciiTheme="minorEastAsia" w:hAnsiTheme="minorEastAsia"/>
                <w:color w:val="auto"/>
                <w:sz w:val="18"/>
                <w:szCs w:val="18"/>
              </w:rPr>
            </w:pPr>
            <w:r>
              <w:rPr>
                <w:rFonts w:hint="eastAsia" w:asciiTheme="minorEastAsia" w:hAnsiTheme="minorEastAsia"/>
                <w:color w:val="auto"/>
                <w:sz w:val="18"/>
                <w:szCs w:val="18"/>
              </w:rPr>
              <w:t>师稳岗率</w:t>
            </w:r>
          </w:p>
        </w:tc>
        <w:tc>
          <w:tcPr>
            <w:tcW w:w="6382" w:type="dxa"/>
            <w:vAlign w:val="bottom"/>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注册造价工程师稳岗率，指企业在评价期末注册造价工程师总人数占</w:t>
            </w:r>
            <w:r>
              <w:rPr>
                <w:rFonts w:hint="eastAsia" w:asciiTheme="minorEastAsia" w:hAnsiTheme="minorEastAsia"/>
                <w:color w:val="auto"/>
                <w:sz w:val="18"/>
                <w:szCs w:val="18"/>
                <w:lang w:eastAsia="zh-CN"/>
              </w:rPr>
              <w:t>离岗</w:t>
            </w:r>
            <w:r>
              <w:rPr>
                <w:rFonts w:hint="eastAsia" w:asciiTheme="minorEastAsia" w:hAnsiTheme="minorEastAsia"/>
                <w:color w:val="auto"/>
                <w:sz w:val="18"/>
                <w:szCs w:val="18"/>
              </w:rPr>
              <w:t>人数加期末总人数的比例。</w:t>
            </w:r>
          </w:p>
          <w:p>
            <w:pPr>
              <w:ind w:firstLine="360" w:firstLineChars="200"/>
              <w:rPr>
                <w:rFonts w:asciiTheme="minorEastAsia" w:hAnsiTheme="minorEastAsia"/>
                <w:color w:val="auto"/>
                <w:sz w:val="18"/>
                <w:szCs w:val="18"/>
              </w:rPr>
            </w:pPr>
            <w:r>
              <w:rPr>
                <w:rFonts w:asciiTheme="minorEastAsia" w:hAnsiTheme="minorEastAsia"/>
                <w:color w:val="auto"/>
                <w:sz w:val="18"/>
                <w:szCs w:val="18"/>
              </w:rPr>
              <w:pict>
                <v:line id="_x0000_s1035" o:spid="_x0000_s1035" o:spt="20" style="position:absolute;left:0pt;flip:x;margin-left:154.1pt;margin-top:12.05pt;height:0.9pt;width:0.5pt;z-index:251676672;mso-width-relative:page;mso-height-relative:page;" filled="t" coordsize="21600,21600">
                  <v:path arrowok="t"/>
                  <v:fill on="t" focussize="0,0"/>
                  <v:stroke/>
                  <v:imagedata o:title=""/>
                  <o:lock v:ext="edit"/>
                </v:line>
              </w:pict>
            </w:r>
            <w:r>
              <w:rPr>
                <w:rFonts w:hint="eastAsia" w:asciiTheme="minorEastAsia" w:hAnsiTheme="minorEastAsia"/>
                <w:color w:val="auto"/>
                <w:sz w:val="18"/>
                <w:szCs w:val="18"/>
              </w:rPr>
              <w:t>计算公式为：注册造价工程师稳岗率=期末注册造价工程师总人数/(期末注册造价工程师总人数+期内</w:t>
            </w:r>
            <w:r>
              <w:rPr>
                <w:rFonts w:hint="eastAsia" w:asciiTheme="minorEastAsia" w:hAnsiTheme="minorEastAsia"/>
                <w:color w:val="auto"/>
                <w:sz w:val="18"/>
                <w:szCs w:val="18"/>
                <w:lang w:eastAsia="zh-CN"/>
              </w:rPr>
              <w:t>离岗</w:t>
            </w:r>
            <w:r>
              <w:rPr>
                <w:rFonts w:hint="eastAsia" w:asciiTheme="minorEastAsia" w:hAnsiTheme="minorEastAsia"/>
                <w:color w:val="auto"/>
                <w:sz w:val="18"/>
                <w:szCs w:val="18"/>
              </w:rPr>
              <w:t>注册造价工程师人数)</w:t>
            </w:r>
          </w:p>
        </w:tc>
        <w:tc>
          <w:tcPr>
            <w:tcW w:w="848"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1</w:t>
            </w:r>
          </w:p>
        </w:tc>
        <w:tc>
          <w:tcPr>
            <w:tcW w:w="511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稳岗率在95%</w:t>
            </w:r>
            <w:r>
              <w:rPr>
                <w:rFonts w:hint="eastAsia" w:asciiTheme="minorEastAsia" w:hAnsiTheme="minorEastAsia"/>
                <w:color w:val="auto"/>
                <w:sz w:val="18"/>
                <w:szCs w:val="18"/>
                <w:lang w:eastAsia="zh-CN"/>
              </w:rPr>
              <w:t>及</w:t>
            </w:r>
            <w:r>
              <w:rPr>
                <w:rFonts w:hint="eastAsia" w:asciiTheme="minorEastAsia" w:hAnsiTheme="minorEastAsia"/>
                <w:color w:val="auto"/>
                <w:sz w:val="18"/>
                <w:szCs w:val="18"/>
              </w:rPr>
              <w:t>以上的计1分；在95%～85%（含）的计0.5分；在85%以下的不计分。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025" w:type="dxa"/>
            <w:vMerge w:val="continue"/>
            <w:vAlign w:val="center"/>
          </w:tcPr>
          <w:p>
            <w:pPr>
              <w:spacing w:line="720" w:lineRule="auto"/>
              <w:jc w:val="center"/>
              <w:rPr>
                <w:rFonts w:asciiTheme="minorEastAsia" w:hAnsiTheme="minorEastAsia"/>
                <w:b/>
                <w:color w:val="auto"/>
                <w:sz w:val="18"/>
                <w:szCs w:val="18"/>
              </w:rPr>
            </w:pPr>
          </w:p>
        </w:tc>
        <w:tc>
          <w:tcPr>
            <w:tcW w:w="191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2.5缴纳社保五险的人数占比与平均缴费数额</w:t>
            </w:r>
          </w:p>
        </w:tc>
        <w:tc>
          <w:tcPr>
            <w:tcW w:w="6382"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缴纳社保五险的人数占比，指企业为员工缴纳养老保险、医疗保险、工伤保险、失业保险和女工生育保险人数占企业全员的比例（不含按规定60岁以上不再缴纳该费用的人员）；平均缴费数额是指企业实际向社保机构缴纳五险费用的人均数额。</w:t>
            </w:r>
          </w:p>
        </w:tc>
        <w:tc>
          <w:tcPr>
            <w:tcW w:w="848"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4</w:t>
            </w:r>
          </w:p>
        </w:tc>
        <w:tc>
          <w:tcPr>
            <w:tcW w:w="5119"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lang w:eastAsia="zh-CN"/>
              </w:rPr>
              <w:t>同</w:t>
            </w:r>
            <w:r>
              <w:rPr>
                <w:rFonts w:hint="eastAsia" w:asciiTheme="minorEastAsia" w:hAnsiTheme="minorEastAsia"/>
                <w:color w:val="auto"/>
                <w:sz w:val="18"/>
                <w:szCs w:val="18"/>
              </w:rPr>
              <w:t>“工程造价咨询业务收入”计分办法</w:t>
            </w:r>
            <w:r>
              <w:rPr>
                <w:rFonts w:hint="eastAsia" w:asciiTheme="minorEastAsia" w:hAnsiTheme="minorEastAsia"/>
                <w:color w:val="auto"/>
                <w:sz w:val="18"/>
                <w:szCs w:val="18"/>
                <w:lang w:eastAsia="zh-CN"/>
              </w:rPr>
              <w:t>，</w:t>
            </w:r>
            <w:r>
              <w:rPr>
                <w:rFonts w:hint="eastAsia" w:asciiTheme="minorEastAsia" w:hAnsiTheme="minorEastAsia"/>
                <w:color w:val="auto"/>
                <w:sz w:val="18"/>
                <w:szCs w:val="18"/>
              </w:rPr>
              <w:t>分别对人数占比、平均缴费数额计分，人数占比</w:t>
            </w:r>
            <w:r>
              <w:rPr>
                <w:rFonts w:hint="eastAsia" w:asciiTheme="minorEastAsia" w:hAnsiTheme="minorEastAsia"/>
                <w:color w:val="auto"/>
                <w:sz w:val="18"/>
                <w:szCs w:val="18"/>
                <w:lang w:eastAsia="zh-CN"/>
              </w:rPr>
              <w:t>与</w:t>
            </w:r>
            <w:r>
              <w:rPr>
                <w:rFonts w:hint="eastAsia" w:asciiTheme="minorEastAsia" w:hAnsiTheme="minorEastAsia"/>
                <w:color w:val="auto"/>
                <w:sz w:val="18"/>
                <w:szCs w:val="18"/>
              </w:rPr>
              <w:t>平均缴费数额</w:t>
            </w:r>
            <w:r>
              <w:rPr>
                <w:rFonts w:hint="eastAsia" w:asciiTheme="minorEastAsia" w:hAnsiTheme="minorEastAsia"/>
                <w:color w:val="auto"/>
                <w:sz w:val="18"/>
                <w:szCs w:val="18"/>
                <w:lang w:eastAsia="zh-CN"/>
              </w:rPr>
              <w:t>各</w:t>
            </w:r>
            <w:r>
              <w:rPr>
                <w:rFonts w:hint="eastAsia" w:asciiTheme="minorEastAsia" w:hAnsiTheme="minorEastAsia"/>
                <w:color w:val="auto"/>
                <w:sz w:val="18"/>
                <w:szCs w:val="18"/>
              </w:rPr>
              <w:t>占50%（2分）。只缴纳部分险种费用视为未缴纳“社保五险”，不得计分。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5" w:type="dxa"/>
            <w:vMerge w:val="continue"/>
            <w:vAlign w:val="center"/>
          </w:tcPr>
          <w:p>
            <w:pPr>
              <w:spacing w:line="720" w:lineRule="auto"/>
              <w:jc w:val="center"/>
              <w:rPr>
                <w:rFonts w:asciiTheme="minorEastAsia" w:hAnsiTheme="minorEastAsia"/>
                <w:b/>
                <w:color w:val="auto"/>
                <w:sz w:val="18"/>
                <w:szCs w:val="18"/>
              </w:rPr>
            </w:pPr>
          </w:p>
        </w:tc>
        <w:tc>
          <w:tcPr>
            <w:tcW w:w="1918"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2.6造价专业人员继续教育合格率</w:t>
            </w:r>
          </w:p>
        </w:tc>
        <w:tc>
          <w:tcPr>
            <w:tcW w:w="6382"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造价专业人员继续教育合格率，指企业在评价期内一级造价工程师、二级造价工程师参加省造价协会组织的继续教育并取得合格证的人数，占企业应参加人数的比例。</w:t>
            </w:r>
          </w:p>
        </w:tc>
        <w:tc>
          <w:tcPr>
            <w:tcW w:w="848"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3</w:t>
            </w:r>
          </w:p>
        </w:tc>
        <w:tc>
          <w:tcPr>
            <w:tcW w:w="511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1025" w:type="dxa"/>
            <w:vMerge w:val="continue"/>
            <w:vAlign w:val="center"/>
          </w:tcPr>
          <w:p>
            <w:pPr>
              <w:spacing w:line="720" w:lineRule="auto"/>
              <w:jc w:val="center"/>
              <w:rPr>
                <w:rFonts w:asciiTheme="minorEastAsia" w:hAnsiTheme="minorEastAsia"/>
                <w:b/>
                <w:color w:val="auto"/>
                <w:sz w:val="18"/>
                <w:szCs w:val="18"/>
              </w:rPr>
            </w:pPr>
          </w:p>
        </w:tc>
        <w:tc>
          <w:tcPr>
            <w:tcW w:w="1918" w:type="dxa"/>
            <w:vAlign w:val="center"/>
          </w:tcPr>
          <w:p>
            <w:pPr>
              <w:jc w:val="center"/>
              <w:rPr>
                <w:rFonts w:hint="eastAsia" w:asciiTheme="minorEastAsia" w:hAnsiTheme="minorEastAsia"/>
                <w:color w:val="auto"/>
                <w:sz w:val="18"/>
                <w:szCs w:val="18"/>
              </w:rPr>
            </w:pPr>
            <w:r>
              <w:rPr>
                <w:rFonts w:hint="eastAsia" w:asciiTheme="minorEastAsia" w:hAnsiTheme="minorEastAsia"/>
                <w:color w:val="auto"/>
                <w:sz w:val="18"/>
                <w:szCs w:val="18"/>
              </w:rPr>
              <w:t>2.7组织造价专业人员参加技能竞赛及获奖情况</w:t>
            </w:r>
          </w:p>
        </w:tc>
        <w:tc>
          <w:tcPr>
            <w:tcW w:w="6382" w:type="dxa"/>
            <w:vAlign w:val="center"/>
          </w:tcPr>
          <w:p>
            <w:pPr>
              <w:ind w:firstLine="360" w:firstLineChars="200"/>
              <w:rPr>
                <w:rFonts w:hint="eastAsia" w:asciiTheme="minorEastAsia" w:hAnsiTheme="minorEastAsia"/>
                <w:color w:val="auto"/>
                <w:sz w:val="18"/>
                <w:szCs w:val="18"/>
              </w:rPr>
            </w:pPr>
            <w:r>
              <w:rPr>
                <w:rFonts w:hint="eastAsia" w:asciiTheme="minorEastAsia" w:hAnsiTheme="minorEastAsia"/>
                <w:color w:val="auto"/>
                <w:sz w:val="18"/>
                <w:szCs w:val="18"/>
              </w:rPr>
              <w:t>组织造价专业人员参加技能竞赛及获奖情况，指企业在评价期内认真组织本企业的一级、二级造价工程师</w:t>
            </w:r>
            <w:r>
              <w:rPr>
                <w:rFonts w:hint="eastAsia" w:asciiTheme="minorEastAsia" w:hAnsiTheme="minorEastAsia"/>
                <w:color w:val="auto"/>
                <w:sz w:val="18"/>
                <w:szCs w:val="18"/>
                <w:lang w:eastAsia="zh-CN"/>
              </w:rPr>
              <w:t>（含造价员）</w:t>
            </w:r>
            <w:r>
              <w:rPr>
                <w:rFonts w:hint="eastAsia" w:asciiTheme="minorEastAsia" w:hAnsiTheme="minorEastAsia"/>
                <w:color w:val="auto"/>
                <w:sz w:val="18"/>
                <w:szCs w:val="18"/>
              </w:rPr>
              <w:t>参加省造价协会举办的技能竞赛中的个人与团体</w:t>
            </w:r>
            <w:r>
              <w:rPr>
                <w:rFonts w:hint="eastAsia" w:asciiTheme="minorEastAsia" w:hAnsiTheme="minorEastAsia"/>
                <w:color w:val="auto"/>
                <w:sz w:val="18"/>
                <w:szCs w:val="18"/>
                <w:lang w:eastAsia="zh-CN"/>
              </w:rPr>
              <w:t>赛</w:t>
            </w:r>
            <w:r>
              <w:rPr>
                <w:rFonts w:hint="eastAsia" w:asciiTheme="minorEastAsia" w:hAnsiTheme="minorEastAsia"/>
                <w:color w:val="auto"/>
                <w:sz w:val="18"/>
                <w:szCs w:val="18"/>
              </w:rPr>
              <w:t>情况，以及获得团体赛一、二、三等奖与企业参赛专业人员获得个人一、二、三等奖的人数。</w:t>
            </w:r>
          </w:p>
        </w:tc>
        <w:tc>
          <w:tcPr>
            <w:tcW w:w="848" w:type="dxa"/>
            <w:vAlign w:val="center"/>
          </w:tcPr>
          <w:p>
            <w:pPr>
              <w:jc w:val="center"/>
              <w:rPr>
                <w:rFonts w:hint="eastAsia" w:asciiTheme="minorEastAsia" w:hAnsiTheme="minorEastAsia"/>
                <w:b/>
                <w:color w:val="auto"/>
                <w:sz w:val="18"/>
                <w:szCs w:val="18"/>
                <w:u w:val="single"/>
              </w:rPr>
            </w:pPr>
            <w:r>
              <w:rPr>
                <w:rFonts w:hint="eastAsia" w:asciiTheme="minorEastAsia" w:hAnsiTheme="minorEastAsia"/>
                <w:b/>
                <w:color w:val="auto"/>
                <w:sz w:val="18"/>
                <w:szCs w:val="18"/>
                <w:u w:val="single"/>
              </w:rPr>
              <w:t>4</w:t>
            </w:r>
          </w:p>
        </w:tc>
        <w:tc>
          <w:tcPr>
            <w:tcW w:w="5119" w:type="dxa"/>
            <w:vAlign w:val="center"/>
          </w:tcPr>
          <w:p>
            <w:pPr>
              <w:ind w:firstLine="360" w:firstLineChars="200"/>
              <w:rPr>
                <w:rFonts w:hint="eastAsia" w:asciiTheme="minorEastAsia" w:hAnsiTheme="minorEastAsia" w:eastAsiaTheme="minorEastAsia"/>
                <w:color w:val="auto"/>
                <w:sz w:val="18"/>
                <w:szCs w:val="18"/>
                <w:lang w:eastAsia="zh-CN"/>
              </w:rPr>
            </w:pPr>
            <w:r>
              <w:rPr>
                <w:rFonts w:hint="eastAsia" w:asciiTheme="minorEastAsia" w:hAnsiTheme="minorEastAsia"/>
                <w:color w:val="auto"/>
                <w:sz w:val="18"/>
                <w:szCs w:val="18"/>
              </w:rPr>
              <w:t>企业既组织专业人员参加个人赛又参加团体赛的，计1分，只参加个人赛的计0.2分</w:t>
            </w:r>
            <w:r>
              <w:rPr>
                <w:rFonts w:hint="eastAsia" w:asciiTheme="minorEastAsia" w:hAnsiTheme="minorEastAsia"/>
                <w:color w:val="auto"/>
                <w:sz w:val="18"/>
                <w:szCs w:val="18"/>
                <w:lang w:eastAsia="zh-CN"/>
              </w:rPr>
              <w:t>；未参赛，不计分。</w:t>
            </w:r>
          </w:p>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团体一等奖，计1.5分；二等奖计1分；三等奖计0.5分。</w:t>
            </w:r>
          </w:p>
          <w:p>
            <w:pPr>
              <w:rPr>
                <w:rFonts w:hint="eastAsia" w:asciiTheme="minorEastAsia" w:hAnsiTheme="minorEastAsia"/>
                <w:color w:val="auto"/>
                <w:sz w:val="18"/>
                <w:szCs w:val="18"/>
              </w:rPr>
            </w:pPr>
            <w:r>
              <w:rPr>
                <w:rFonts w:hint="eastAsia" w:asciiTheme="minorEastAsia" w:hAnsiTheme="minorEastAsia"/>
                <w:color w:val="auto"/>
                <w:sz w:val="18"/>
                <w:szCs w:val="18"/>
              </w:rPr>
              <w:t>个人获一等奖人数最多的企业，计1分；其余依获奖人数占最多人数的比例乘以1分。获二等奖人数最多的企业，计0.8分；其余计分办法同一等奖。获三等奖人数最多的企业，计0.6分；其余计分办法同一等奖。一个企业个人一、二、三等奖皆有获奖者，可相加计分，但最高不得超过1.5分。</w:t>
            </w:r>
          </w:p>
        </w:tc>
      </w:tr>
    </w:tbl>
    <w:p>
      <w:pPr>
        <w:spacing w:line="440" w:lineRule="exact"/>
        <w:jc w:val="center"/>
        <w:rPr>
          <w:rFonts w:hint="eastAsia" w:ascii="黑体" w:hAnsi="黑体" w:eastAsia="黑体" w:cs="黑体"/>
          <w:b/>
          <w:sz w:val="36"/>
          <w:szCs w:val="36"/>
          <w:u w:val="single"/>
        </w:rPr>
      </w:pPr>
    </w:p>
    <w:p>
      <w:pPr>
        <w:rPr>
          <w:color w:val="auto"/>
        </w:rPr>
      </w:pPr>
    </w:p>
    <w:tbl>
      <w:tblPr>
        <w:tblStyle w:val="5"/>
        <w:tblpPr w:leftFromText="180" w:rightFromText="180" w:vertAnchor="text" w:horzAnchor="page" w:tblpX="798" w:tblpY="441"/>
        <w:tblOverlap w:val="never"/>
        <w:tblW w:w="15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01"/>
        <w:gridCol w:w="6237"/>
        <w:gridCol w:w="9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276" w:type="dxa"/>
            <w:vMerge w:val="restart"/>
            <w:vAlign w:val="center"/>
          </w:tcPr>
          <w:p>
            <w:pPr>
              <w:spacing w:line="560" w:lineRule="exact"/>
              <w:jc w:val="center"/>
              <w:rPr>
                <w:rFonts w:asciiTheme="minorEastAsia" w:hAnsiTheme="minorEastAsia"/>
                <w:b/>
                <w:color w:val="auto"/>
                <w:sz w:val="24"/>
              </w:rPr>
            </w:pPr>
            <w:r>
              <w:rPr>
                <w:rFonts w:hint="eastAsia" w:asciiTheme="minorEastAsia" w:hAnsiTheme="minorEastAsia"/>
                <w:b/>
                <w:color w:val="auto"/>
                <w:sz w:val="24"/>
              </w:rPr>
              <w:t>3.</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科</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技</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进</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步</w:t>
            </w:r>
          </w:p>
          <w:p>
            <w:pPr>
              <w:spacing w:line="560" w:lineRule="exact"/>
              <w:jc w:val="center"/>
              <w:rPr>
                <w:color w:val="auto"/>
              </w:rPr>
            </w:pPr>
            <w:r>
              <w:rPr>
                <w:rFonts w:hint="eastAsia" w:asciiTheme="minorEastAsia" w:hAnsiTheme="minorEastAsia"/>
                <w:b/>
                <w:color w:val="auto"/>
                <w:sz w:val="24"/>
              </w:rPr>
              <w:t>（12）</w:t>
            </w: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3.1企业创新状况</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企业创新状况，指企业围绕形成其核心竞争力，而开展的具有自身特色的技术创新、服务内涵创新、企业管理创新的专项研究及其成果。</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w:t>
            </w:r>
          </w:p>
        </w:tc>
        <w:tc>
          <w:tcPr>
            <w:tcW w:w="5103" w:type="dxa"/>
            <w:vAlign w:val="center"/>
          </w:tcPr>
          <w:p>
            <w:pPr>
              <w:ind w:firstLine="360" w:firstLineChars="200"/>
              <w:jc w:val="left"/>
              <w:rPr>
                <w:rFonts w:asciiTheme="minorEastAsia" w:hAnsiTheme="minorEastAsia"/>
                <w:color w:val="auto"/>
                <w:sz w:val="18"/>
                <w:szCs w:val="18"/>
              </w:rPr>
            </w:pPr>
            <w:r>
              <w:rPr>
                <w:rFonts w:hint="eastAsia" w:asciiTheme="minorEastAsia" w:hAnsiTheme="minorEastAsia"/>
                <w:color w:val="auto"/>
                <w:sz w:val="18"/>
                <w:szCs w:val="18"/>
              </w:rPr>
              <w:t>企业能积极开展创新活动，有创新规划与具体研发项目，且设立了企业研发、创新专项费用，额度不低于国家相关规定的（企业研发费用，一般为当期营业收入的2%），计1分。没有的，不计分；其课题研究成果，仅在本企业转化应用的，计0.5分；在全省行业内推广应用的，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276" w:type="dxa"/>
            <w:vMerge w:val="continue"/>
            <w:vAlign w:val="center"/>
          </w:tcPr>
          <w:p>
            <w:pPr>
              <w:rPr>
                <w:color w:val="auto"/>
              </w:rPr>
            </w:pPr>
          </w:p>
        </w:tc>
        <w:tc>
          <w:tcPr>
            <w:tcW w:w="1701" w:type="dxa"/>
            <w:vAlign w:val="center"/>
          </w:tcPr>
          <w:p>
            <w:pPr>
              <w:rPr>
                <w:rFonts w:hint="eastAsia" w:asciiTheme="minorEastAsia" w:hAnsiTheme="minorEastAsia"/>
                <w:color w:val="auto"/>
                <w:sz w:val="18"/>
                <w:szCs w:val="18"/>
              </w:rPr>
            </w:pPr>
            <w:r>
              <w:rPr>
                <w:rFonts w:hint="eastAsia" w:asciiTheme="minorEastAsia" w:hAnsiTheme="minorEastAsia"/>
                <w:color w:val="auto"/>
                <w:sz w:val="18"/>
                <w:szCs w:val="18"/>
              </w:rPr>
              <w:t>3.2企业数字化</w:t>
            </w:r>
          </w:p>
          <w:p>
            <w:pPr>
              <w:jc w:val="center"/>
              <w:rPr>
                <w:rFonts w:asciiTheme="minorEastAsia" w:hAnsiTheme="minorEastAsia"/>
                <w:color w:val="auto"/>
                <w:sz w:val="18"/>
                <w:szCs w:val="18"/>
              </w:rPr>
            </w:pPr>
            <w:r>
              <w:rPr>
                <w:rFonts w:hint="eastAsia" w:asciiTheme="minorEastAsia" w:hAnsiTheme="minorEastAsia"/>
                <w:color w:val="auto"/>
                <w:sz w:val="18"/>
                <w:szCs w:val="18"/>
              </w:rPr>
              <w:t>水平</w:t>
            </w:r>
          </w:p>
        </w:tc>
        <w:tc>
          <w:tcPr>
            <w:tcW w:w="6237" w:type="dxa"/>
            <w:vAlign w:val="center"/>
          </w:tcPr>
          <w:p>
            <w:pPr>
              <w:ind w:firstLine="360" w:firstLineChars="200"/>
              <w:rPr>
                <w:color w:val="auto"/>
              </w:rPr>
            </w:pPr>
            <w:r>
              <w:rPr>
                <w:rFonts w:hint="eastAsia" w:asciiTheme="minorEastAsia" w:hAnsiTheme="minorEastAsia"/>
                <w:color w:val="auto"/>
                <w:sz w:val="18"/>
                <w:szCs w:val="18"/>
              </w:rPr>
              <w:t>企业数字化水平，指企业提供工程造价咨询服务所采用技术手段的数字化程度。</w:t>
            </w:r>
          </w:p>
        </w:tc>
        <w:tc>
          <w:tcPr>
            <w:tcW w:w="993" w:type="dxa"/>
            <w:vAlign w:val="center"/>
          </w:tcPr>
          <w:p>
            <w:pPr>
              <w:jc w:val="center"/>
              <w:rPr>
                <w:color w:val="auto"/>
              </w:rPr>
            </w:pPr>
            <w:r>
              <w:rPr>
                <w:rFonts w:hint="eastAsia" w:asciiTheme="minorEastAsia" w:hAnsiTheme="minorEastAsia"/>
                <w:b/>
                <w:color w:val="auto"/>
                <w:sz w:val="18"/>
                <w:szCs w:val="18"/>
                <w:u w:val="single"/>
              </w:rPr>
              <w:t>4</w:t>
            </w:r>
          </w:p>
        </w:tc>
        <w:tc>
          <w:tcPr>
            <w:tcW w:w="5103" w:type="dxa"/>
            <w:vAlign w:val="center"/>
          </w:tcPr>
          <w:p>
            <w:pPr>
              <w:ind w:firstLine="360" w:firstLineChars="200"/>
              <w:rPr>
                <w:color w:val="auto"/>
              </w:rPr>
            </w:pPr>
            <w:r>
              <w:rPr>
                <w:rFonts w:hint="eastAsia" w:asciiTheme="minorEastAsia" w:hAnsiTheme="minorEastAsia"/>
                <w:color w:val="auto"/>
                <w:sz w:val="18"/>
                <w:szCs w:val="18"/>
              </w:rPr>
              <w:t xml:space="preserve">建立了企业门户网站计0.5分；企业应用能对造价咨询业务流程、质量过程控制、价格信息采用、成果文件交付与归档，执业人员业绩考核等进行统一管理的系统软件执业计1分；企业建立了具有本企业特色的数据平台，并能满足或部分满足本企业对数据资源需求的，计1.5分；企业建立了以BIM应用为核心的数据应用研发团队的，并能为本企业的工程计价活动提供技术支撑的，计1分，没有建立数据团队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76" w:type="dxa"/>
            <w:vMerge w:val="continue"/>
            <w:vAlign w:val="center"/>
          </w:tcPr>
          <w:p>
            <w:pPr>
              <w:rPr>
                <w:color w:val="auto"/>
              </w:rPr>
            </w:pPr>
          </w:p>
        </w:tc>
        <w:tc>
          <w:tcPr>
            <w:tcW w:w="1701" w:type="dxa"/>
            <w:vAlign w:val="center"/>
          </w:tcPr>
          <w:p>
            <w:pPr>
              <w:jc w:val="center"/>
              <w:rPr>
                <w:color w:val="auto"/>
              </w:rPr>
            </w:pPr>
            <w:r>
              <w:rPr>
                <w:rFonts w:hint="eastAsia" w:asciiTheme="minorEastAsia" w:hAnsiTheme="minorEastAsia"/>
                <w:color w:val="auto"/>
                <w:sz w:val="18"/>
                <w:szCs w:val="18"/>
              </w:rPr>
              <w:t>3.3承担省级以上标准、规范、规程的制定</w:t>
            </w:r>
          </w:p>
        </w:tc>
        <w:tc>
          <w:tcPr>
            <w:tcW w:w="6237" w:type="dxa"/>
            <w:vAlign w:val="center"/>
          </w:tcPr>
          <w:p>
            <w:pPr>
              <w:ind w:firstLine="360" w:firstLineChars="200"/>
              <w:rPr>
                <w:color w:val="auto"/>
              </w:rPr>
            </w:pPr>
            <w:r>
              <w:rPr>
                <w:rFonts w:hint="eastAsia" w:asciiTheme="minorEastAsia" w:hAnsiTheme="minorEastAsia"/>
                <w:color w:val="auto"/>
                <w:sz w:val="18"/>
                <w:szCs w:val="18"/>
              </w:rPr>
              <w:t>承担省级以上标准、规范、规程的制定，指企业主编或参与编制省级以上标准（含规范、规程）。</w:t>
            </w:r>
          </w:p>
        </w:tc>
        <w:tc>
          <w:tcPr>
            <w:tcW w:w="993" w:type="dxa"/>
            <w:vAlign w:val="center"/>
          </w:tcPr>
          <w:p>
            <w:pPr>
              <w:jc w:val="center"/>
              <w:rPr>
                <w:color w:val="auto"/>
              </w:rPr>
            </w:pPr>
            <w:r>
              <w:rPr>
                <w:rFonts w:hint="eastAsia" w:asciiTheme="minorEastAsia" w:hAnsiTheme="minorEastAsia"/>
                <w:b/>
                <w:color w:val="auto"/>
                <w:sz w:val="18"/>
                <w:szCs w:val="18"/>
                <w:u w:val="single"/>
              </w:rPr>
              <w:t>2</w:t>
            </w:r>
          </w:p>
        </w:tc>
        <w:tc>
          <w:tcPr>
            <w:tcW w:w="5103" w:type="dxa"/>
            <w:vAlign w:val="center"/>
          </w:tcPr>
          <w:p>
            <w:pPr>
              <w:ind w:firstLine="360" w:firstLineChars="200"/>
              <w:rPr>
                <w:color w:val="auto"/>
              </w:rPr>
            </w:pPr>
            <w:r>
              <w:rPr>
                <w:rFonts w:hint="eastAsia" w:asciiTheme="minorEastAsia" w:hAnsiTheme="minorEastAsia"/>
                <w:color w:val="auto"/>
                <w:sz w:val="18"/>
                <w:szCs w:val="18"/>
              </w:rPr>
              <w:t>主编一个标准计1.5分，参编一个标准计0.5分，最高不超过2分。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276" w:type="dxa"/>
            <w:vMerge w:val="continue"/>
            <w:vAlign w:val="center"/>
          </w:tcPr>
          <w:p>
            <w:pPr>
              <w:rPr>
                <w:color w:val="auto"/>
              </w:rPr>
            </w:pPr>
          </w:p>
        </w:tc>
        <w:tc>
          <w:tcPr>
            <w:tcW w:w="1701" w:type="dxa"/>
            <w:vAlign w:val="center"/>
          </w:tcPr>
          <w:p>
            <w:pPr>
              <w:rPr>
                <w:color w:val="auto"/>
              </w:rPr>
            </w:pPr>
            <w:r>
              <w:rPr>
                <w:rFonts w:hint="eastAsia" w:asciiTheme="minorEastAsia" w:hAnsiTheme="minorEastAsia"/>
                <w:color w:val="auto"/>
                <w:sz w:val="18"/>
                <w:szCs w:val="18"/>
              </w:rPr>
              <w:t>3.4获得省级以上优秀服务成果、优秀工程造价论文</w:t>
            </w:r>
          </w:p>
        </w:tc>
        <w:tc>
          <w:tcPr>
            <w:tcW w:w="6237" w:type="dxa"/>
            <w:vAlign w:val="center"/>
          </w:tcPr>
          <w:p>
            <w:pPr>
              <w:jc w:val="center"/>
              <w:rPr>
                <w:color w:val="auto"/>
              </w:rPr>
            </w:pPr>
            <w:r>
              <w:rPr>
                <w:rFonts w:hint="eastAsia" w:asciiTheme="minorEastAsia" w:hAnsiTheme="minorEastAsia"/>
                <w:color w:val="auto"/>
                <w:sz w:val="18"/>
                <w:szCs w:val="18"/>
              </w:rPr>
              <w:t>以</w:t>
            </w:r>
            <w:r>
              <w:rPr>
                <w:rFonts w:hint="eastAsia" w:asciiTheme="minorEastAsia" w:hAnsiTheme="minorEastAsia"/>
                <w:color w:val="auto"/>
                <w:sz w:val="18"/>
                <w:szCs w:val="18"/>
                <w:lang w:eastAsia="zh-CN"/>
              </w:rPr>
              <w:t>省级以上工程造价或与工程造价相关的</w:t>
            </w:r>
            <w:r>
              <w:rPr>
                <w:rFonts w:hint="eastAsia" w:asciiTheme="minorEastAsia" w:hAnsiTheme="minorEastAsia"/>
                <w:color w:val="auto"/>
                <w:sz w:val="18"/>
                <w:szCs w:val="18"/>
              </w:rPr>
              <w:t>评奖机构文件为准</w:t>
            </w:r>
          </w:p>
        </w:tc>
        <w:tc>
          <w:tcPr>
            <w:tcW w:w="993" w:type="dxa"/>
            <w:vAlign w:val="center"/>
          </w:tcPr>
          <w:p>
            <w:pPr>
              <w:jc w:val="center"/>
              <w:rPr>
                <w:color w:val="auto"/>
              </w:rPr>
            </w:pPr>
            <w:r>
              <w:rPr>
                <w:rFonts w:hint="eastAsia" w:asciiTheme="minorEastAsia" w:hAnsiTheme="minorEastAsia"/>
                <w:b/>
                <w:color w:val="auto"/>
                <w:sz w:val="18"/>
                <w:szCs w:val="18"/>
                <w:u w:val="single"/>
              </w:rPr>
              <w:t>2</w:t>
            </w:r>
          </w:p>
        </w:tc>
        <w:tc>
          <w:tcPr>
            <w:tcW w:w="5103" w:type="dxa"/>
            <w:vAlign w:val="center"/>
          </w:tcPr>
          <w:p>
            <w:pPr>
              <w:ind w:firstLine="360" w:firstLineChars="200"/>
              <w:rPr>
                <w:color w:val="auto"/>
              </w:rPr>
            </w:pPr>
            <w:r>
              <w:rPr>
                <w:rFonts w:hint="eastAsia" w:asciiTheme="minorEastAsia" w:hAnsiTheme="minorEastAsia"/>
                <w:color w:val="auto"/>
                <w:sz w:val="18"/>
                <w:szCs w:val="18"/>
              </w:rPr>
              <w:t>每获得1项优秀服务成果计0.5分，两项及以上计1分，未获得不计分；每获得1项优秀论文计0.5分，两项及以上计1分，未获得</w:t>
            </w:r>
            <w:r>
              <w:rPr>
                <w:rFonts w:hint="eastAsia" w:asciiTheme="minorEastAsia" w:hAnsiTheme="minorEastAsia"/>
                <w:color w:val="auto"/>
                <w:sz w:val="18"/>
                <w:szCs w:val="18"/>
                <w:lang w:eastAsia="zh-CN"/>
              </w:rPr>
              <w:t>的</w:t>
            </w:r>
            <w:r>
              <w:rPr>
                <w:rFonts w:hint="eastAsia" w:asciiTheme="minorEastAsia" w:hAnsiTheme="minorEastAsia"/>
                <w:color w:val="auto"/>
                <w:sz w:val="18"/>
                <w:szCs w:val="18"/>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276" w:type="dxa"/>
            <w:vMerge w:val="continue"/>
            <w:vAlign w:val="center"/>
          </w:tcPr>
          <w:p>
            <w:pPr>
              <w:rPr>
                <w:color w:val="auto"/>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3.5企业支持专家委工作状况</w:t>
            </w:r>
          </w:p>
        </w:tc>
        <w:tc>
          <w:tcPr>
            <w:tcW w:w="6237" w:type="dxa"/>
            <w:vAlign w:val="center"/>
          </w:tcPr>
          <w:p>
            <w:pPr>
              <w:ind w:firstLine="360" w:firstLineChars="200"/>
              <w:jc w:val="left"/>
              <w:rPr>
                <w:rFonts w:asciiTheme="minorEastAsia" w:hAnsiTheme="minorEastAsia"/>
                <w:color w:val="auto"/>
                <w:sz w:val="18"/>
                <w:szCs w:val="18"/>
              </w:rPr>
            </w:pPr>
            <w:r>
              <w:rPr>
                <w:rFonts w:hint="eastAsia" w:asciiTheme="minorEastAsia" w:hAnsiTheme="minorEastAsia"/>
                <w:color w:val="auto"/>
                <w:sz w:val="18"/>
                <w:szCs w:val="18"/>
              </w:rPr>
              <w:t>企业支持专家委工作状况，指陕西省建设工程造价管理专家委员会委员所在的企业支持该专家参与专家大讲堂、专业人员技能竞赛出题及其相关技术工作、评强评先与信用评价</w:t>
            </w:r>
            <w:r>
              <w:rPr>
                <w:rFonts w:hint="eastAsia" w:asciiTheme="minorEastAsia" w:hAnsiTheme="minorEastAsia"/>
                <w:color w:val="auto"/>
                <w:sz w:val="18"/>
                <w:szCs w:val="18"/>
                <w:lang w:eastAsia="zh-CN"/>
              </w:rPr>
              <w:t>、工程造价专业人员继续教育授课，以及其他面向全行业公益活动</w:t>
            </w:r>
            <w:r>
              <w:rPr>
                <w:rFonts w:hint="eastAsia" w:asciiTheme="minorEastAsia" w:hAnsiTheme="minorEastAsia"/>
                <w:color w:val="auto"/>
                <w:sz w:val="18"/>
                <w:szCs w:val="18"/>
              </w:rPr>
              <w:t>的状况。</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w:t>
            </w:r>
          </w:p>
        </w:tc>
        <w:tc>
          <w:tcPr>
            <w:tcW w:w="5103" w:type="dxa"/>
            <w:vAlign w:val="center"/>
          </w:tcPr>
          <w:p>
            <w:pPr>
              <w:rPr>
                <w:rFonts w:asciiTheme="minorEastAsia" w:hAnsiTheme="minorEastAsia"/>
                <w:color w:val="auto"/>
                <w:sz w:val="18"/>
                <w:szCs w:val="18"/>
              </w:rPr>
            </w:pPr>
            <w:r>
              <w:rPr>
                <w:rFonts w:hint="eastAsia" w:asciiTheme="minorEastAsia" w:hAnsiTheme="minorEastAsia"/>
                <w:color w:val="auto"/>
                <w:sz w:val="18"/>
                <w:szCs w:val="18"/>
              </w:rPr>
              <w:t>专家在大讲堂讲座一次</w:t>
            </w:r>
            <w:r>
              <w:rPr>
                <w:rFonts w:hint="eastAsia" w:asciiTheme="minorEastAsia" w:hAnsiTheme="minorEastAsia"/>
                <w:color w:val="auto"/>
                <w:sz w:val="18"/>
                <w:szCs w:val="18"/>
                <w:lang w:eastAsia="zh-CN"/>
              </w:rPr>
              <w:t>或承担一次继续教育授课</w:t>
            </w:r>
            <w:r>
              <w:rPr>
                <w:rFonts w:hint="eastAsia" w:asciiTheme="minorEastAsia" w:hAnsiTheme="minorEastAsia"/>
                <w:color w:val="auto"/>
                <w:sz w:val="18"/>
                <w:szCs w:val="18"/>
              </w:rPr>
              <w:t>，计1分；</w:t>
            </w:r>
          </w:p>
          <w:p>
            <w:pPr>
              <w:rPr>
                <w:rFonts w:asciiTheme="minorEastAsia" w:hAnsiTheme="minorEastAsia"/>
                <w:color w:val="auto"/>
                <w:sz w:val="18"/>
                <w:szCs w:val="18"/>
              </w:rPr>
            </w:pPr>
            <w:r>
              <w:rPr>
                <w:rFonts w:hint="eastAsia" w:asciiTheme="minorEastAsia" w:hAnsiTheme="minorEastAsia"/>
                <w:color w:val="auto"/>
                <w:sz w:val="18"/>
                <w:szCs w:val="18"/>
              </w:rPr>
              <w:t>每参与一届竞赛出题及其相关技术工作，计0.5分；</w:t>
            </w:r>
          </w:p>
          <w:p>
            <w:pPr>
              <w:rPr>
                <w:rFonts w:asciiTheme="minorEastAsia" w:hAnsiTheme="minorEastAsia"/>
                <w:color w:val="auto"/>
                <w:sz w:val="18"/>
                <w:szCs w:val="18"/>
              </w:rPr>
            </w:pPr>
            <w:r>
              <w:rPr>
                <w:rFonts w:hint="eastAsia" w:asciiTheme="minorEastAsia" w:hAnsiTheme="minorEastAsia"/>
                <w:color w:val="auto"/>
                <w:sz w:val="18"/>
                <w:szCs w:val="18"/>
              </w:rPr>
              <w:t>每参与一次评强评先、信用评价，并担任组长的，计0.5分；不担任组长的计0.3分；</w:t>
            </w:r>
          </w:p>
          <w:p>
            <w:pPr>
              <w:rPr>
                <w:rFonts w:asciiTheme="minorEastAsia" w:hAnsiTheme="minorEastAsia"/>
                <w:color w:val="auto"/>
                <w:sz w:val="18"/>
                <w:szCs w:val="18"/>
              </w:rPr>
            </w:pPr>
            <w:r>
              <w:rPr>
                <w:rFonts w:hint="eastAsia" w:asciiTheme="minorEastAsia" w:hAnsiTheme="minorEastAsia"/>
                <w:color w:val="auto"/>
                <w:sz w:val="18"/>
                <w:szCs w:val="18"/>
              </w:rPr>
              <w:t>同一企业可能有一位专家委员参与多项工作，可能有两位或两位以上专家委员参与多项活动，可以</w:t>
            </w:r>
            <w:r>
              <w:rPr>
                <w:rFonts w:hint="eastAsia" w:asciiTheme="minorEastAsia" w:hAnsiTheme="minorEastAsia"/>
                <w:color w:val="auto"/>
                <w:sz w:val="18"/>
                <w:szCs w:val="18"/>
                <w:lang w:eastAsia="zh-CN"/>
              </w:rPr>
              <w:t>累</w:t>
            </w:r>
            <w:r>
              <w:rPr>
                <w:rFonts w:hint="eastAsia" w:asciiTheme="minorEastAsia" w:hAnsiTheme="minorEastAsia"/>
                <w:color w:val="auto"/>
                <w:sz w:val="18"/>
                <w:szCs w:val="18"/>
              </w:rPr>
              <w:t>计加分，</w:t>
            </w:r>
            <w:r>
              <w:rPr>
                <w:rFonts w:hint="eastAsia" w:asciiTheme="minorEastAsia" w:hAnsiTheme="minorEastAsia"/>
                <w:color w:val="auto"/>
                <w:sz w:val="18"/>
                <w:szCs w:val="18"/>
                <w:lang w:eastAsia="zh-CN"/>
              </w:rPr>
              <w:t>但</w:t>
            </w:r>
            <w:r>
              <w:rPr>
                <w:rFonts w:hint="eastAsia" w:asciiTheme="minorEastAsia" w:hAnsiTheme="minorEastAsia"/>
                <w:color w:val="auto"/>
                <w:sz w:val="18"/>
                <w:szCs w:val="18"/>
              </w:rPr>
              <w:t>不</w:t>
            </w:r>
            <w:r>
              <w:rPr>
                <w:rFonts w:hint="eastAsia" w:asciiTheme="minorEastAsia" w:hAnsiTheme="minorEastAsia"/>
                <w:color w:val="auto"/>
                <w:sz w:val="18"/>
                <w:szCs w:val="18"/>
                <w:lang w:eastAsia="zh-CN"/>
              </w:rPr>
              <w:t>得</w:t>
            </w:r>
            <w:r>
              <w:rPr>
                <w:rFonts w:hint="eastAsia" w:asciiTheme="minorEastAsia" w:hAnsiTheme="minorEastAsia"/>
                <w:color w:val="auto"/>
                <w:sz w:val="18"/>
                <w:szCs w:val="18"/>
              </w:rPr>
              <w:t>超过权重</w:t>
            </w:r>
            <w:r>
              <w:rPr>
                <w:rFonts w:hint="eastAsia" w:asciiTheme="minorEastAsia" w:hAnsiTheme="minorEastAsia"/>
                <w:color w:val="auto"/>
                <w:sz w:val="18"/>
                <w:szCs w:val="18"/>
                <w:lang w:eastAsia="zh-CN"/>
              </w:rPr>
              <w:t>值</w:t>
            </w:r>
            <w:r>
              <w:rPr>
                <w:rFonts w:hint="eastAsia" w:asciiTheme="minorEastAsia" w:hAnsiTheme="minorEastAsia"/>
                <w:color w:val="auto"/>
                <w:sz w:val="18"/>
                <w:szCs w:val="18"/>
              </w:rPr>
              <w:t>。</w:t>
            </w:r>
          </w:p>
        </w:tc>
      </w:tr>
    </w:tbl>
    <w:p>
      <w:pPr>
        <w:rPr>
          <w:rFonts w:hint="eastAsia"/>
          <w:color w:val="auto"/>
        </w:rPr>
      </w:pPr>
    </w:p>
    <w:p>
      <w:pPr>
        <w:rPr>
          <w:rFonts w:hint="eastAsia"/>
          <w:color w:val="auto"/>
        </w:rPr>
      </w:pPr>
    </w:p>
    <w:p>
      <w:pPr>
        <w:rPr>
          <w:rFonts w:hint="eastAsia"/>
          <w:color w:val="auto"/>
        </w:rPr>
      </w:pPr>
    </w:p>
    <w:p>
      <w:pPr>
        <w:rPr>
          <w:color w:val="auto"/>
        </w:rPr>
      </w:pPr>
    </w:p>
    <w:tbl>
      <w:tblPr>
        <w:tblStyle w:val="4"/>
        <w:tblpPr w:leftFromText="180" w:rightFromText="180" w:vertAnchor="text" w:horzAnchor="margin" w:tblpXSpec="center" w:tblpY="109"/>
        <w:tblOverlap w:val="never"/>
        <w:tblW w:w="15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6237"/>
        <w:gridCol w:w="993"/>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42" w:type="dxa"/>
            <w:vMerge w:val="restart"/>
            <w:vAlign w:val="center"/>
          </w:tcPr>
          <w:p>
            <w:pPr>
              <w:spacing w:line="560" w:lineRule="exact"/>
              <w:jc w:val="center"/>
              <w:rPr>
                <w:rFonts w:asciiTheme="minorEastAsia" w:hAnsiTheme="minorEastAsia"/>
                <w:b/>
                <w:color w:val="auto"/>
                <w:sz w:val="24"/>
              </w:rPr>
            </w:pPr>
            <w:r>
              <w:rPr>
                <w:rFonts w:hint="eastAsia" w:asciiTheme="minorEastAsia" w:hAnsiTheme="minorEastAsia"/>
                <w:b/>
                <w:color w:val="auto"/>
                <w:sz w:val="24"/>
              </w:rPr>
              <w:t>4.</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企</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业</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品</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质</w:t>
            </w:r>
          </w:p>
          <w:p>
            <w:pPr>
              <w:spacing w:line="560" w:lineRule="exact"/>
              <w:jc w:val="center"/>
              <w:rPr>
                <w:rFonts w:asciiTheme="minorEastAsia" w:hAnsiTheme="minorEastAsia"/>
                <w:b/>
                <w:color w:val="auto"/>
                <w:sz w:val="18"/>
                <w:szCs w:val="18"/>
              </w:rPr>
            </w:pPr>
            <w:r>
              <w:rPr>
                <w:rFonts w:hint="eastAsia" w:asciiTheme="minorEastAsia" w:hAnsiTheme="minorEastAsia"/>
                <w:b/>
                <w:color w:val="auto"/>
                <w:sz w:val="24"/>
              </w:rPr>
              <w:t>（10）</w:t>
            </w: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4.1信用评价等级</w:t>
            </w:r>
          </w:p>
        </w:tc>
        <w:tc>
          <w:tcPr>
            <w:tcW w:w="6237"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依照信用评价结果</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4</w:t>
            </w:r>
          </w:p>
        </w:tc>
        <w:tc>
          <w:tcPr>
            <w:tcW w:w="5029"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企业获3A级的计4分， 2A级计2分， A级及以下不计分。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4.2质量保证体系建设与认证</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质量保证体系建设，指企业以质量保证制度、质量保证机构、过程质量监控、成果质量水平为主要内容的基础性工作；质量体系认证是指企业取得国家认定的第三方认证机构所颁发的认证书。</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w:t>
            </w:r>
          </w:p>
        </w:tc>
        <w:tc>
          <w:tcPr>
            <w:tcW w:w="5029"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企业质量保证体系比较健全的计0.5分；具有本企业特色的工程造价咨询成果质量标准与操作规程的，计1分，没有则不计分；取得认证书且接受认证机构复核的，计0.5分。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4.3市场行为</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市场行为，指企业是否能依法依规开展经营活动，是否能认真践行陕西省工程造价</w:t>
            </w:r>
            <w:r>
              <w:rPr>
                <w:rFonts w:hint="eastAsia" w:asciiTheme="minorEastAsia" w:hAnsiTheme="minorEastAsia"/>
                <w:color w:val="auto"/>
                <w:sz w:val="18"/>
                <w:szCs w:val="18"/>
                <w:lang w:eastAsia="zh-CN"/>
              </w:rPr>
              <w:t>咨询</w:t>
            </w:r>
            <w:r>
              <w:rPr>
                <w:rFonts w:hint="eastAsia" w:asciiTheme="minorEastAsia" w:hAnsiTheme="minorEastAsia"/>
                <w:color w:val="auto"/>
                <w:sz w:val="18"/>
                <w:szCs w:val="18"/>
              </w:rPr>
              <w:t>行业自律公约。</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3</w:t>
            </w:r>
          </w:p>
        </w:tc>
        <w:tc>
          <w:tcPr>
            <w:tcW w:w="5029"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凡是在市级以上住建部门开展的执法检查中获通报表扬的计1.5分，受到通报批评的扣减1.5分；在省造价协会组织的自律检查中获通报表扬的计1.5分，受通报批评的扣减1.5分。同一企业在同一评价期内受不同层级多次或同一层级多次通报表扬的，可</w:t>
            </w:r>
            <w:r>
              <w:rPr>
                <w:rFonts w:hint="eastAsia" w:asciiTheme="minorEastAsia" w:hAnsiTheme="minorEastAsia"/>
                <w:color w:val="auto"/>
                <w:sz w:val="18"/>
                <w:szCs w:val="18"/>
                <w:lang w:eastAsia="zh-CN"/>
              </w:rPr>
              <w:t>累</w:t>
            </w:r>
            <w:r>
              <w:rPr>
                <w:rFonts w:hint="eastAsia" w:asciiTheme="minorEastAsia" w:hAnsiTheme="minorEastAsia"/>
                <w:color w:val="auto"/>
                <w:sz w:val="18"/>
                <w:szCs w:val="18"/>
              </w:rPr>
              <w:t>计加分，但不得超过权重值；同一企业在同一评价期内受不同层级多次或同一层级多次通报批评的，</w:t>
            </w:r>
            <w:r>
              <w:rPr>
                <w:rFonts w:hint="eastAsia" w:asciiTheme="minorEastAsia" w:hAnsiTheme="minorEastAsia"/>
                <w:color w:val="auto"/>
                <w:sz w:val="18"/>
                <w:szCs w:val="18"/>
                <w:lang w:eastAsia="zh-CN"/>
              </w:rPr>
              <w:t>可累计</w:t>
            </w:r>
            <w:r>
              <w:rPr>
                <w:rFonts w:hint="eastAsia" w:asciiTheme="minorEastAsia" w:hAnsiTheme="minorEastAsia"/>
                <w:color w:val="auto"/>
                <w:sz w:val="18"/>
                <w:szCs w:val="18"/>
              </w:rPr>
              <w:t>减分</w:t>
            </w:r>
            <w:r>
              <w:rPr>
                <w:rFonts w:hint="eastAsia" w:asciiTheme="minorEastAsia" w:hAnsiTheme="minorEastAsia"/>
                <w:color w:val="auto"/>
                <w:sz w:val="18"/>
                <w:szCs w:val="18"/>
                <w:lang w:eastAsia="zh-CN"/>
              </w:rPr>
              <w:t>，但</w:t>
            </w:r>
            <w:r>
              <w:rPr>
                <w:rFonts w:hint="eastAsia" w:asciiTheme="minorEastAsia" w:hAnsiTheme="minorEastAsia"/>
                <w:color w:val="auto"/>
                <w:sz w:val="18"/>
                <w:szCs w:val="18"/>
              </w:rPr>
              <w:t>不</w:t>
            </w:r>
            <w:r>
              <w:rPr>
                <w:rFonts w:hint="eastAsia" w:asciiTheme="minorEastAsia" w:hAnsiTheme="minorEastAsia"/>
                <w:color w:val="auto"/>
                <w:sz w:val="18"/>
                <w:szCs w:val="18"/>
                <w:lang w:eastAsia="zh-CN"/>
              </w:rPr>
              <w:t>得</w:t>
            </w:r>
            <w:r>
              <w:rPr>
                <w:rFonts w:hint="eastAsia" w:asciiTheme="minorEastAsia" w:hAnsiTheme="minorEastAsia"/>
                <w:color w:val="auto"/>
                <w:sz w:val="18"/>
                <w:szCs w:val="18"/>
              </w:rPr>
              <w:t>超过权重值。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4.4服务成果用户满意度</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服务成果用户满意度，指用户对服务成果质量的评价为“满意”的项目占申报期内全部服务成果的比例。</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1</w:t>
            </w:r>
          </w:p>
        </w:tc>
        <w:tc>
          <w:tcPr>
            <w:tcW w:w="5029"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企业建立了服务成果用户评价制度，并能认真实施，计0.5分；用户满意度</w:t>
            </w:r>
            <w:r>
              <w:rPr>
                <w:rFonts w:hint="eastAsia" w:asciiTheme="minorEastAsia" w:hAnsiTheme="minorEastAsia"/>
                <w:color w:val="auto"/>
                <w:sz w:val="18"/>
                <w:szCs w:val="18"/>
                <w:lang w:eastAsia="zh-CN"/>
              </w:rPr>
              <w:t>在</w:t>
            </w:r>
            <w:r>
              <w:rPr>
                <w:rFonts w:hint="eastAsia" w:asciiTheme="minorEastAsia" w:hAnsiTheme="minorEastAsia"/>
                <w:color w:val="auto"/>
                <w:sz w:val="18"/>
                <w:szCs w:val="18"/>
              </w:rPr>
              <w:t>95%</w:t>
            </w:r>
            <w:r>
              <w:rPr>
                <w:rFonts w:hint="eastAsia" w:asciiTheme="minorEastAsia" w:hAnsiTheme="minorEastAsia"/>
                <w:color w:val="auto"/>
                <w:sz w:val="18"/>
                <w:szCs w:val="18"/>
                <w:lang w:eastAsia="zh-CN"/>
              </w:rPr>
              <w:t>及</w:t>
            </w:r>
            <w:r>
              <w:rPr>
                <w:rFonts w:hint="eastAsia" w:asciiTheme="minorEastAsia" w:hAnsiTheme="minorEastAsia"/>
                <w:color w:val="auto"/>
                <w:sz w:val="18"/>
                <w:szCs w:val="18"/>
              </w:rPr>
              <w:t>以上</w:t>
            </w:r>
            <w:r>
              <w:rPr>
                <w:rFonts w:hint="eastAsia" w:asciiTheme="minorEastAsia" w:hAnsiTheme="minorEastAsia"/>
                <w:color w:val="auto"/>
                <w:sz w:val="18"/>
                <w:szCs w:val="18"/>
                <w:lang w:eastAsia="zh-CN"/>
              </w:rPr>
              <w:t>的</w:t>
            </w:r>
            <w:r>
              <w:rPr>
                <w:rFonts w:hint="eastAsia" w:asciiTheme="minorEastAsia" w:hAnsiTheme="minorEastAsia"/>
                <w:color w:val="auto"/>
                <w:sz w:val="18"/>
                <w:szCs w:val="18"/>
              </w:rPr>
              <w:t>计0.5分，95%～90%</w:t>
            </w:r>
            <w:r>
              <w:rPr>
                <w:rFonts w:hint="eastAsia" w:asciiTheme="minorEastAsia" w:hAnsiTheme="minorEastAsia"/>
                <w:color w:val="auto"/>
                <w:sz w:val="18"/>
                <w:szCs w:val="18"/>
                <w:lang w:eastAsia="zh-CN"/>
              </w:rPr>
              <w:t>（含）</w:t>
            </w:r>
            <w:r>
              <w:rPr>
                <w:rFonts w:hint="eastAsia" w:asciiTheme="minorEastAsia" w:hAnsiTheme="minorEastAsia"/>
                <w:color w:val="auto"/>
                <w:sz w:val="18"/>
                <w:szCs w:val="18"/>
              </w:rPr>
              <w:t>计0.3分，90%以下不计分。评价过程中对企业申报用户满意的项目进行随机抽查，若发现一个不满意项目的或者用户对成果质量无评价意见的，扣0.5分，扣完该评价指标权重值</w:t>
            </w:r>
            <w:r>
              <w:rPr>
                <w:rFonts w:hint="eastAsia" w:asciiTheme="minorEastAsia" w:hAnsiTheme="minorEastAsia"/>
                <w:color w:val="auto"/>
                <w:sz w:val="18"/>
                <w:szCs w:val="18"/>
                <w:lang w:eastAsia="zh-CN"/>
              </w:rPr>
              <w:t>为止</w:t>
            </w:r>
            <w:r>
              <w:rPr>
                <w:rFonts w:hint="eastAsia" w:asciiTheme="minorEastAsia" w:hAnsiTheme="minorEastAsia"/>
                <w:color w:val="auto"/>
                <w:sz w:val="18"/>
                <w:szCs w:val="18"/>
              </w:rPr>
              <w:t>。</w:t>
            </w:r>
          </w:p>
        </w:tc>
      </w:tr>
    </w:tbl>
    <w:p>
      <w:pPr>
        <w:rPr>
          <w:color w:val="auto"/>
        </w:rPr>
      </w:pPr>
    </w:p>
    <w:p>
      <w:pPr>
        <w:rPr>
          <w:color w:val="auto"/>
        </w:rPr>
      </w:pPr>
    </w:p>
    <w:tbl>
      <w:tblPr>
        <w:tblStyle w:val="4"/>
        <w:tblpPr w:leftFromText="180" w:rightFromText="180" w:vertAnchor="text" w:horzAnchor="page" w:tblpX="917" w:tblpY="580"/>
        <w:tblOverlap w:val="never"/>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6237"/>
        <w:gridCol w:w="9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242" w:type="dxa"/>
            <w:vMerge w:val="restart"/>
            <w:vAlign w:val="center"/>
          </w:tcPr>
          <w:p>
            <w:pPr>
              <w:spacing w:line="560" w:lineRule="exact"/>
              <w:jc w:val="center"/>
              <w:rPr>
                <w:rFonts w:asciiTheme="minorEastAsia" w:hAnsiTheme="minorEastAsia"/>
                <w:b/>
                <w:color w:val="auto"/>
                <w:sz w:val="24"/>
              </w:rPr>
            </w:pPr>
            <w:r>
              <w:rPr>
                <w:rFonts w:hint="eastAsia" w:asciiTheme="minorEastAsia" w:hAnsiTheme="minorEastAsia"/>
                <w:b/>
                <w:color w:val="auto"/>
                <w:sz w:val="24"/>
              </w:rPr>
              <w:t>5.</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营</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业</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收</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入</w:t>
            </w:r>
          </w:p>
          <w:p>
            <w:pPr>
              <w:spacing w:line="560" w:lineRule="exact"/>
              <w:jc w:val="center"/>
              <w:rPr>
                <w:rFonts w:asciiTheme="minorEastAsia" w:hAnsiTheme="minorEastAsia"/>
                <w:b/>
                <w:color w:val="auto"/>
                <w:sz w:val="18"/>
                <w:szCs w:val="18"/>
              </w:rPr>
            </w:pPr>
            <w:r>
              <w:rPr>
                <w:rFonts w:hint="eastAsia" w:asciiTheme="minorEastAsia" w:hAnsiTheme="minorEastAsia"/>
                <w:b/>
                <w:color w:val="auto"/>
                <w:sz w:val="24"/>
              </w:rPr>
              <w:t>（37）</w:t>
            </w:r>
          </w:p>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5.1企业总营业</w:t>
            </w:r>
          </w:p>
          <w:p>
            <w:pPr>
              <w:jc w:val="center"/>
              <w:rPr>
                <w:rFonts w:asciiTheme="minorEastAsia" w:hAnsiTheme="minorEastAsia"/>
                <w:color w:val="auto"/>
                <w:sz w:val="18"/>
                <w:szCs w:val="18"/>
              </w:rPr>
            </w:pPr>
            <w:r>
              <w:rPr>
                <w:rFonts w:hint="eastAsia" w:asciiTheme="minorEastAsia" w:hAnsiTheme="minorEastAsia"/>
                <w:color w:val="auto"/>
                <w:sz w:val="18"/>
                <w:szCs w:val="18"/>
              </w:rPr>
              <w:t>收入</w:t>
            </w:r>
          </w:p>
        </w:tc>
        <w:tc>
          <w:tcPr>
            <w:tcW w:w="6237"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企业总营业收入，指独立的企业法人在一个评价期内各类营业收入之和</w:t>
            </w:r>
            <w:r>
              <w:rPr>
                <w:rFonts w:hint="eastAsia" w:asciiTheme="minorEastAsia" w:hAnsiTheme="minorEastAsia"/>
                <w:color w:val="auto"/>
                <w:sz w:val="18"/>
                <w:szCs w:val="18"/>
                <w:lang w:eastAsia="zh-CN"/>
              </w:rPr>
              <w:t>。</w:t>
            </w:r>
          </w:p>
        </w:tc>
        <w:tc>
          <w:tcPr>
            <w:tcW w:w="993" w:type="dxa"/>
            <w:vAlign w:val="center"/>
          </w:tcPr>
          <w:p>
            <w:pPr>
              <w:jc w:val="center"/>
              <w:rPr>
                <w:rFonts w:asciiTheme="minorEastAsia" w:hAnsiTheme="minorEastAsia"/>
                <w:color w:val="auto"/>
                <w:sz w:val="18"/>
                <w:szCs w:val="18"/>
              </w:rPr>
            </w:pPr>
            <w:r>
              <w:rPr>
                <w:rFonts w:hint="eastAsia" w:asciiTheme="minorEastAsia" w:hAnsiTheme="minorEastAsia"/>
                <w:b/>
                <w:color w:val="auto"/>
                <w:sz w:val="18"/>
                <w:szCs w:val="18"/>
                <w:u w:val="single"/>
              </w:rPr>
              <w:t>0</w:t>
            </w:r>
          </w:p>
        </w:tc>
        <w:tc>
          <w:tcPr>
            <w:tcW w:w="4961" w:type="dxa"/>
            <w:vAlign w:val="center"/>
          </w:tcPr>
          <w:p>
            <w:pPr>
              <w:ind w:firstLine="360" w:firstLineChars="200"/>
              <w:rPr>
                <w:rFonts w:asciiTheme="minorEastAsia" w:hAnsiTheme="minorEastAsia"/>
                <w:color w:val="auto"/>
                <w:sz w:val="18"/>
                <w:szCs w:val="18"/>
              </w:rPr>
            </w:pPr>
            <w:r>
              <w:rPr>
                <w:rFonts w:hint="eastAsia" w:cs="Times New Roman" w:asciiTheme="minorEastAsia" w:hAnsiTheme="minorEastAsia"/>
                <w:color w:val="auto"/>
                <w:sz w:val="18"/>
                <w:szCs w:val="18"/>
              </w:rPr>
              <w:t>该指标不赋予权重，仅在企业评价分值完全相同时，依该指标决定先后。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5.2</w:t>
            </w:r>
            <w:r>
              <w:rPr>
                <w:rFonts w:hint="eastAsia" w:cs="Times New Roman" w:asciiTheme="minorEastAsia" w:hAnsiTheme="minorEastAsia"/>
                <w:color w:val="auto"/>
                <w:sz w:val="18"/>
                <w:szCs w:val="18"/>
              </w:rPr>
              <w:t>工程造价咨询业务收入</w:t>
            </w:r>
          </w:p>
        </w:tc>
        <w:tc>
          <w:tcPr>
            <w:tcW w:w="6237" w:type="dxa"/>
            <w:vAlign w:val="center"/>
          </w:tcPr>
          <w:p>
            <w:pPr>
              <w:ind w:firstLine="360" w:firstLineChars="200"/>
              <w:rPr>
                <w:rFonts w:asciiTheme="minorEastAsia" w:hAnsiTheme="minorEastAsia"/>
                <w:color w:val="auto"/>
                <w:sz w:val="18"/>
                <w:szCs w:val="18"/>
              </w:rPr>
            </w:pPr>
            <w:r>
              <w:rPr>
                <w:rFonts w:hint="eastAsia" w:cs="Times New Roman" w:asciiTheme="minorEastAsia" w:hAnsiTheme="minorEastAsia"/>
                <w:color w:val="auto"/>
                <w:sz w:val="18"/>
                <w:szCs w:val="18"/>
              </w:rPr>
              <w:t>工程造价咨询业务收入，指在一个评价期内符合住房与城乡建设部第</w:t>
            </w:r>
            <w:r>
              <w:rPr>
                <w:rFonts w:hint="eastAsia" w:cs="Times New Roman" w:asciiTheme="minorEastAsia" w:hAnsiTheme="minorEastAsia"/>
                <w:color w:val="auto"/>
                <w:sz w:val="18"/>
                <w:szCs w:val="18"/>
                <w:lang w:val="en-US" w:eastAsia="zh-CN"/>
              </w:rPr>
              <w:t>50</w:t>
            </w:r>
            <w:r>
              <w:rPr>
                <w:rFonts w:hint="eastAsia" w:cs="Times New Roman" w:asciiTheme="minorEastAsia" w:hAnsiTheme="minorEastAsia"/>
                <w:color w:val="auto"/>
                <w:sz w:val="18"/>
                <w:szCs w:val="18"/>
              </w:rPr>
              <w:t>号令规定范围的造价咨询业务收入、工程招标代理业务收入、以工程造价咨询为基础的PPP项目咨询收入、以工程造价为核心的全过程工程咨询收入和EPC项目咨询收入。</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28</w:t>
            </w:r>
          </w:p>
        </w:tc>
        <w:tc>
          <w:tcPr>
            <w:tcW w:w="4961" w:type="dxa"/>
            <w:vAlign w:val="center"/>
          </w:tcPr>
          <w:p>
            <w:pPr>
              <w:ind w:firstLine="360" w:firstLineChars="200"/>
              <w:rPr>
                <w:rFonts w:asciiTheme="minorEastAsia" w:hAnsiTheme="minorEastAsia"/>
                <w:color w:val="auto"/>
                <w:sz w:val="18"/>
                <w:szCs w:val="18"/>
              </w:rPr>
            </w:pPr>
            <w:r>
              <w:rPr>
                <w:rFonts w:hint="eastAsia" w:cs="Times New Roman" w:asciiTheme="minorEastAsia" w:hAnsiTheme="minorEastAsia"/>
                <w:color w:val="auto"/>
                <w:sz w:val="18"/>
                <w:szCs w:val="18"/>
              </w:rPr>
              <w:t>评价委员会审核认定的工程造价咨询业务收入最高的，依权重计满分，其余依其收入占最高收入的百分比，再乘以权重，即为得分。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5.3工程造价咨询业务收入增长率</w:t>
            </w:r>
          </w:p>
        </w:tc>
        <w:tc>
          <w:tcPr>
            <w:tcW w:w="6237" w:type="dxa"/>
            <w:vAlign w:val="center"/>
          </w:tcPr>
          <w:p>
            <w:pPr>
              <w:ind w:firstLine="360" w:firstLineChars="200"/>
              <w:jc w:val="left"/>
              <w:rPr>
                <w:rFonts w:hint="eastAsia" w:asciiTheme="minorEastAsia" w:hAnsiTheme="minorEastAsia"/>
                <w:color w:val="auto"/>
                <w:sz w:val="18"/>
                <w:szCs w:val="18"/>
              </w:rPr>
            </w:pPr>
            <w:r>
              <w:rPr>
                <w:rFonts w:hint="eastAsia" w:asciiTheme="minorEastAsia" w:hAnsiTheme="minorEastAsia"/>
                <w:color w:val="auto"/>
                <w:sz w:val="18"/>
                <w:szCs w:val="18"/>
              </w:rPr>
              <w:t>工程造价咨询业务收入增长率，指企业在评价期内符合评价标准5.2规定的工程造价咨询业务收入，与上一个评价期比较所得出的增长幅度。</w:t>
            </w:r>
          </w:p>
          <w:p>
            <w:pPr>
              <w:ind w:firstLine="360" w:firstLineChars="200"/>
              <w:jc w:val="left"/>
              <w:rPr>
                <w:rFonts w:hint="default" w:asciiTheme="minorEastAsia" w:hAnsiTheme="minorEastAsia" w:eastAsiaTheme="minorEastAsia"/>
                <w:color w:val="auto"/>
                <w:sz w:val="18"/>
                <w:szCs w:val="18"/>
                <w:lang w:val="en-US" w:eastAsia="zh-CN"/>
              </w:rPr>
            </w:pPr>
            <w:r>
              <w:rPr>
                <w:rFonts w:hint="eastAsia" w:asciiTheme="minorEastAsia" w:hAnsiTheme="minorEastAsia"/>
                <w:color w:val="auto"/>
                <w:sz w:val="18"/>
                <w:szCs w:val="18"/>
                <w:lang w:eastAsia="zh-CN"/>
              </w:rPr>
              <w:t>计算公式为：工程造价咨询业务收入增长率</w:t>
            </w:r>
            <w:r>
              <w:rPr>
                <w:rFonts w:hint="eastAsia" w:asciiTheme="minorEastAsia" w:hAnsiTheme="minorEastAsia"/>
                <w:color w:val="auto"/>
                <w:sz w:val="18"/>
                <w:szCs w:val="18"/>
                <w:lang w:val="en-US" w:eastAsia="zh-CN"/>
              </w:rPr>
              <w:t>=[（本评价期</w:t>
            </w:r>
            <w:r>
              <w:rPr>
                <w:rFonts w:hint="eastAsia" w:asciiTheme="minorEastAsia" w:hAnsiTheme="minorEastAsia"/>
                <w:color w:val="auto"/>
                <w:sz w:val="18"/>
                <w:szCs w:val="18"/>
                <w:lang w:eastAsia="zh-CN"/>
              </w:rPr>
              <w:t>工程造价咨询业务收入</w:t>
            </w:r>
            <w:r>
              <w:rPr>
                <w:rFonts w:hint="eastAsia" w:asciiTheme="minorEastAsia" w:hAnsiTheme="minorEastAsia"/>
                <w:color w:val="auto"/>
                <w:sz w:val="18"/>
                <w:szCs w:val="18"/>
                <w:lang w:val="en-US" w:eastAsia="zh-CN"/>
              </w:rPr>
              <w:t>/上评价期</w:t>
            </w:r>
            <w:r>
              <w:rPr>
                <w:rFonts w:hint="eastAsia" w:asciiTheme="minorEastAsia" w:hAnsiTheme="minorEastAsia"/>
                <w:color w:val="auto"/>
                <w:sz w:val="18"/>
                <w:szCs w:val="18"/>
                <w:lang w:eastAsia="zh-CN"/>
              </w:rPr>
              <w:t>工程造价咨询业务收入</w:t>
            </w:r>
            <w:r>
              <w:rPr>
                <w:rFonts w:hint="eastAsia" w:asciiTheme="minorEastAsia" w:hAnsiTheme="minorEastAsia"/>
                <w:color w:val="auto"/>
                <w:sz w:val="18"/>
                <w:szCs w:val="18"/>
                <w:lang w:val="en-US" w:eastAsia="zh-CN"/>
              </w:rPr>
              <w:t>）-1]*100%</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4</w:t>
            </w:r>
          </w:p>
        </w:tc>
        <w:tc>
          <w:tcPr>
            <w:tcW w:w="4961"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评价委员会审核认定的工程造价咨询业务收入增长率，最高的依权重计满分，其余依增长率占最高增长率的百分比，再乘以权重，即为得分。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4" w:hRule="atLeast"/>
        </w:trPr>
        <w:tc>
          <w:tcPr>
            <w:tcW w:w="1242" w:type="dxa"/>
            <w:vMerge w:val="continue"/>
            <w:vAlign w:val="center"/>
          </w:tcPr>
          <w:p>
            <w:pPr>
              <w:spacing w:line="720" w:lineRule="auto"/>
              <w:jc w:val="center"/>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5.4高端市场业务收入</w:t>
            </w:r>
          </w:p>
        </w:tc>
        <w:tc>
          <w:tcPr>
            <w:tcW w:w="6237" w:type="dxa"/>
            <w:vAlign w:val="center"/>
          </w:tcPr>
          <w:p>
            <w:pPr>
              <w:ind w:firstLine="360" w:firstLineChars="200"/>
              <w:rPr>
                <w:rFonts w:cs="Times New Roman" w:asciiTheme="minorEastAsia" w:hAnsiTheme="minorEastAsia"/>
                <w:color w:val="auto"/>
                <w:sz w:val="18"/>
                <w:szCs w:val="18"/>
              </w:rPr>
            </w:pPr>
            <w:r>
              <w:rPr>
                <w:rFonts w:hint="eastAsia" w:asciiTheme="minorEastAsia" w:hAnsiTheme="minorEastAsia"/>
                <w:color w:val="auto"/>
                <w:sz w:val="18"/>
                <w:szCs w:val="18"/>
              </w:rPr>
              <w:t>高端市场业务收入，</w:t>
            </w:r>
            <w:r>
              <w:rPr>
                <w:rFonts w:hint="eastAsia" w:cs="Times New Roman" w:asciiTheme="minorEastAsia" w:hAnsiTheme="minorEastAsia"/>
                <w:color w:val="auto"/>
                <w:sz w:val="18"/>
                <w:szCs w:val="18"/>
              </w:rPr>
              <w:t>指从事以工程造价咨询为基础的PPP项目咨询的业务收入、开展以工程造价为核心的全过程工程咨询的业务收入和EPC项目咨询收入。</w:t>
            </w:r>
          </w:p>
          <w:p>
            <w:pPr>
              <w:ind w:firstLine="360" w:firstLineChars="200"/>
              <w:rPr>
                <w:rFonts w:cs="Times New Roman" w:asciiTheme="minorEastAsia" w:hAnsiTheme="minorEastAsia"/>
                <w:color w:val="auto"/>
                <w:sz w:val="18"/>
                <w:szCs w:val="18"/>
              </w:rPr>
            </w:pPr>
            <w:r>
              <w:rPr>
                <w:rFonts w:hint="eastAsia" w:cs="Times New Roman" w:asciiTheme="minorEastAsia" w:hAnsiTheme="minorEastAsia"/>
                <w:color w:val="auto"/>
                <w:sz w:val="18"/>
                <w:szCs w:val="18"/>
              </w:rPr>
              <w:t>PPP项目咨询，指接受政府方委托，向委托方提交“PPP项目实施方案”，并协助委托方完成PPP项目的招标，确定社会资本方、签订PPP项目合同，也可包括为该PPP项目的项目公司提供后续工程咨询的业务；未开展PPP项目实施方案咨询业务，而仅受PPP项目公司委托开展项目的造价咨询业务，不得计入PPP项目咨询收入。</w:t>
            </w:r>
          </w:p>
          <w:p>
            <w:pPr>
              <w:ind w:firstLine="360" w:firstLineChars="200"/>
              <w:rPr>
                <w:rFonts w:cs="Times New Roman" w:asciiTheme="minorEastAsia" w:hAnsiTheme="minorEastAsia"/>
                <w:color w:val="auto"/>
                <w:sz w:val="18"/>
                <w:szCs w:val="18"/>
              </w:rPr>
            </w:pPr>
            <w:r>
              <w:rPr>
                <w:rFonts w:hint="eastAsia" w:cs="Times New Roman" w:asciiTheme="minorEastAsia" w:hAnsiTheme="minorEastAsia"/>
                <w:color w:val="auto"/>
                <w:sz w:val="18"/>
                <w:szCs w:val="18"/>
              </w:rPr>
              <w:t>全过程工程咨询，指超出住房与城乡建设部</w:t>
            </w:r>
            <w:r>
              <w:rPr>
                <w:rFonts w:hint="eastAsia" w:cs="Times New Roman" w:asciiTheme="minorEastAsia" w:hAnsiTheme="minorEastAsia"/>
                <w:color w:val="auto"/>
                <w:sz w:val="18"/>
                <w:szCs w:val="18"/>
                <w:lang w:val="en-US" w:eastAsia="zh-CN"/>
              </w:rPr>
              <w:t>50</w:t>
            </w:r>
            <w:r>
              <w:rPr>
                <w:rFonts w:hint="eastAsia" w:cs="Times New Roman" w:asciiTheme="minorEastAsia" w:hAnsiTheme="minorEastAsia"/>
                <w:color w:val="auto"/>
                <w:sz w:val="18"/>
                <w:szCs w:val="18"/>
              </w:rPr>
              <w:t>号令规定范围，而依据国办发〔2017〕19号文件所鼓励的以工程造价咨询为核心的融合投资咨询、</w:t>
            </w:r>
            <w:r>
              <w:rPr>
                <w:rFonts w:hint="eastAsia" w:cs="Times New Roman" w:asciiTheme="minorEastAsia" w:hAnsiTheme="minorEastAsia"/>
                <w:color w:val="auto"/>
                <w:sz w:val="18"/>
                <w:szCs w:val="18"/>
                <w:lang w:eastAsia="zh-CN"/>
              </w:rPr>
              <w:t>设计管理、</w:t>
            </w:r>
            <w:r>
              <w:rPr>
                <w:rFonts w:hint="eastAsia" w:cs="Times New Roman" w:asciiTheme="minorEastAsia" w:hAnsiTheme="minorEastAsia"/>
                <w:color w:val="auto"/>
                <w:sz w:val="18"/>
                <w:szCs w:val="18"/>
              </w:rPr>
              <w:t>招标代理、工程监理等在内的咨询业务，应以委托合同的约定为依据。</w:t>
            </w:r>
          </w:p>
          <w:p>
            <w:pPr>
              <w:ind w:firstLine="360" w:firstLineChars="200"/>
              <w:rPr>
                <w:rFonts w:asciiTheme="minorEastAsia" w:hAnsiTheme="minorEastAsia"/>
                <w:color w:val="auto"/>
                <w:sz w:val="18"/>
                <w:szCs w:val="18"/>
              </w:rPr>
            </w:pPr>
            <w:r>
              <w:rPr>
                <w:rFonts w:hint="eastAsia" w:cs="Times New Roman" w:asciiTheme="minorEastAsia" w:hAnsiTheme="minorEastAsia"/>
                <w:color w:val="auto"/>
                <w:sz w:val="18"/>
                <w:szCs w:val="18"/>
              </w:rPr>
              <w:t>EPC项目咨询，指以工程造价控制为核心，履行项目设计、采购、施工全过程咨询服务的咨询方式。一般以优化初步设计与深化设计概算为起点，以总价合同</w:t>
            </w:r>
            <w:r>
              <w:rPr>
                <w:rFonts w:hint="eastAsia" w:cs="Times New Roman" w:asciiTheme="minorEastAsia" w:hAnsiTheme="minorEastAsia"/>
                <w:color w:val="auto"/>
                <w:sz w:val="18"/>
                <w:szCs w:val="18"/>
                <w:lang w:eastAsia="zh-CN"/>
              </w:rPr>
              <w:t>的</w:t>
            </w:r>
            <w:r>
              <w:rPr>
                <w:rFonts w:hint="eastAsia" w:cs="Times New Roman" w:asciiTheme="minorEastAsia" w:hAnsiTheme="minorEastAsia"/>
                <w:color w:val="auto"/>
                <w:sz w:val="18"/>
                <w:szCs w:val="18"/>
              </w:rPr>
              <w:t>约定与履行为主要抓手，服务内涵可涵盖设计管理、造价咨询、招标代理、工程监理等全方位项目管理。</w:t>
            </w:r>
            <w:r>
              <w:rPr>
                <w:rFonts w:asciiTheme="minorEastAsia" w:hAnsiTheme="minorEastAsia"/>
                <w:color w:val="auto"/>
                <w:sz w:val="18"/>
                <w:szCs w:val="18"/>
              </w:rPr>
              <w:t xml:space="preserve"> </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5</w:t>
            </w:r>
          </w:p>
        </w:tc>
        <w:tc>
          <w:tcPr>
            <w:tcW w:w="496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p>
            <w:pPr>
              <w:jc w:val="center"/>
              <w:rPr>
                <w:rFonts w:asciiTheme="minorEastAsia" w:hAnsiTheme="minorEastAsia"/>
                <w:color w:val="auto"/>
                <w:sz w:val="18"/>
                <w:szCs w:val="18"/>
              </w:rPr>
            </w:pPr>
            <w:r>
              <w:rPr>
                <w:rFonts w:hint="eastAsia" w:asciiTheme="minorEastAsia" w:hAnsiTheme="minorEastAsia"/>
                <w:color w:val="auto"/>
                <w:sz w:val="18"/>
                <w:szCs w:val="18"/>
              </w:rPr>
              <w:t>（该项分值为奖励性的分值，其基本分已包括在5.2指标内）</w:t>
            </w:r>
          </w:p>
        </w:tc>
      </w:tr>
    </w:tbl>
    <w:p>
      <w:pPr>
        <w:rPr>
          <w:rFonts w:hint="eastAsia"/>
          <w:color w:val="auto"/>
        </w:rPr>
      </w:pPr>
    </w:p>
    <w:p>
      <w:pPr>
        <w:rPr>
          <w:color w:val="auto"/>
        </w:rPr>
      </w:pPr>
    </w:p>
    <w:p>
      <w:pPr>
        <w:rPr>
          <w:color w:val="auto"/>
        </w:rPr>
      </w:pPr>
    </w:p>
    <w:tbl>
      <w:tblPr>
        <w:tblStyle w:val="4"/>
        <w:tblpPr w:leftFromText="180" w:rightFromText="180" w:vertAnchor="text" w:horzAnchor="page" w:tblpX="917" w:tblpY="580"/>
        <w:tblOverlap w:val="never"/>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6237"/>
        <w:gridCol w:w="9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242" w:type="dxa"/>
            <w:vMerge w:val="restart"/>
            <w:vAlign w:val="center"/>
          </w:tcPr>
          <w:p>
            <w:pPr>
              <w:spacing w:line="560" w:lineRule="exact"/>
              <w:jc w:val="center"/>
              <w:rPr>
                <w:rFonts w:asciiTheme="minorEastAsia" w:hAnsiTheme="minorEastAsia"/>
                <w:b/>
                <w:color w:val="auto"/>
                <w:sz w:val="24"/>
              </w:rPr>
            </w:pPr>
            <w:r>
              <w:rPr>
                <w:rFonts w:hint="eastAsia" w:asciiTheme="minorEastAsia" w:hAnsiTheme="minorEastAsia"/>
                <w:b/>
                <w:color w:val="auto"/>
                <w:sz w:val="24"/>
              </w:rPr>
              <w:t>6.</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社</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会</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责</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任</w:t>
            </w:r>
          </w:p>
          <w:p>
            <w:pPr>
              <w:spacing w:line="560" w:lineRule="exact"/>
              <w:jc w:val="center"/>
              <w:rPr>
                <w:rFonts w:asciiTheme="minorEastAsia" w:hAnsiTheme="minorEastAsia"/>
                <w:b/>
                <w:color w:val="auto"/>
                <w:sz w:val="24"/>
              </w:rPr>
            </w:pPr>
            <w:r>
              <w:rPr>
                <w:rFonts w:hint="eastAsia" w:asciiTheme="minorEastAsia" w:hAnsiTheme="minorEastAsia"/>
                <w:b/>
                <w:color w:val="auto"/>
                <w:sz w:val="24"/>
              </w:rPr>
              <w:t>(10)</w:t>
            </w:r>
          </w:p>
        </w:tc>
        <w:tc>
          <w:tcPr>
            <w:tcW w:w="1701" w:type="dxa"/>
            <w:tcBorders>
              <w:bottom w:val="single" w:color="auto" w:sz="4" w:space="0"/>
            </w:tcBorders>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6.1注册地全部纳税额</w:t>
            </w:r>
          </w:p>
        </w:tc>
        <w:tc>
          <w:tcPr>
            <w:tcW w:w="6237" w:type="dxa"/>
            <w:tcBorders>
              <w:bottom w:val="single" w:color="auto" w:sz="4" w:space="0"/>
            </w:tcBorders>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注册地全部纳税额，指企业向税务机关缴纳的依法必须缴纳的全部税金，包括增值税、所得税等。</w:t>
            </w:r>
          </w:p>
        </w:tc>
        <w:tc>
          <w:tcPr>
            <w:tcW w:w="993" w:type="dxa"/>
            <w:tcBorders>
              <w:bottom w:val="single" w:color="auto" w:sz="4" w:space="0"/>
            </w:tcBorders>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3</w:t>
            </w:r>
          </w:p>
        </w:tc>
        <w:tc>
          <w:tcPr>
            <w:tcW w:w="4961" w:type="dxa"/>
            <w:tcBorders>
              <w:bottom w:val="single" w:color="auto" w:sz="4" w:space="0"/>
            </w:tcBorders>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同“5.2工程造价咨询业务收入”计分办法。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242" w:type="dxa"/>
            <w:vMerge w:val="continue"/>
          </w:tcPr>
          <w:p>
            <w:pPr>
              <w:spacing w:line="720" w:lineRule="auto"/>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6.2参与扶贫和向慈善事业捐助情况</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参与扶贫情况，指企业通过扶贫管理机构或直接向扶贫对象捐助钱、物（折合人民币）的数量；向慈善事业捐助情况，指企业向慈善机构或慈善对象捐助的钱、物（折合人民币）的数量。</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1.5</w:t>
            </w:r>
          </w:p>
        </w:tc>
        <w:tc>
          <w:tcPr>
            <w:tcW w:w="4961"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计分分为基础分与业绩分，凡评价期内捐助钱、物（折合人民币）达1万元以上者，计基础分0.5分，不到1万元不计分；业绩分权重为1，同“5.2工程造价咨询业务收入”计分办法。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242" w:type="dxa"/>
            <w:vMerge w:val="continue"/>
          </w:tcPr>
          <w:p>
            <w:pPr>
              <w:spacing w:line="720" w:lineRule="auto"/>
              <w:rPr>
                <w:rFonts w:asciiTheme="minorEastAsia" w:hAnsiTheme="minorEastAsia"/>
                <w:b/>
                <w:color w:val="auto"/>
                <w:sz w:val="18"/>
                <w:szCs w:val="18"/>
              </w:rPr>
            </w:pPr>
          </w:p>
        </w:tc>
        <w:tc>
          <w:tcPr>
            <w:tcW w:w="1701" w:type="dxa"/>
            <w:vAlign w:val="center"/>
          </w:tcPr>
          <w:p>
            <w:pPr>
              <w:jc w:val="center"/>
              <w:rPr>
                <w:rFonts w:asciiTheme="minorEastAsia" w:hAnsiTheme="minorEastAsia"/>
                <w:color w:val="auto"/>
                <w:sz w:val="18"/>
                <w:szCs w:val="18"/>
              </w:rPr>
            </w:pPr>
            <w:r>
              <w:rPr>
                <w:rFonts w:hint="eastAsia" w:asciiTheme="minorEastAsia" w:hAnsiTheme="minorEastAsia"/>
                <w:color w:val="auto"/>
                <w:sz w:val="18"/>
                <w:szCs w:val="18"/>
              </w:rPr>
              <w:t>6.3设立工程造价专业学生实习基地</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设立工程造价专业学生实习基地，指企业与相关大专院校签订合作协议，为接纳学生实习提供场地、师资、项目。</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0.5</w:t>
            </w:r>
          </w:p>
        </w:tc>
        <w:tc>
          <w:tcPr>
            <w:tcW w:w="4961"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设立了实习基地的计0.5分，未设立不计分。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1242" w:type="dxa"/>
            <w:vMerge w:val="continue"/>
          </w:tcPr>
          <w:p>
            <w:pPr>
              <w:spacing w:line="720" w:lineRule="auto"/>
              <w:rPr>
                <w:rFonts w:asciiTheme="minorEastAsia" w:hAnsiTheme="minorEastAsia"/>
                <w:b/>
                <w:color w:val="auto"/>
                <w:sz w:val="18"/>
                <w:szCs w:val="18"/>
              </w:rPr>
            </w:pPr>
          </w:p>
        </w:tc>
        <w:tc>
          <w:tcPr>
            <w:tcW w:w="1701" w:type="dxa"/>
            <w:vAlign w:val="center"/>
          </w:tcPr>
          <w:p>
            <w:pPr>
              <w:jc w:val="center"/>
              <w:rPr>
                <w:rFonts w:hint="eastAsia" w:asciiTheme="minorEastAsia" w:hAnsiTheme="minorEastAsia"/>
                <w:color w:val="auto"/>
                <w:sz w:val="18"/>
                <w:szCs w:val="18"/>
              </w:rPr>
            </w:pPr>
            <w:r>
              <w:rPr>
                <w:rFonts w:hint="eastAsia" w:asciiTheme="minorEastAsia" w:hAnsiTheme="minorEastAsia"/>
                <w:color w:val="auto"/>
                <w:sz w:val="18"/>
                <w:szCs w:val="18"/>
              </w:rPr>
              <w:t>6.4主办或承办面向全行业的</w:t>
            </w:r>
          </w:p>
          <w:p>
            <w:pPr>
              <w:jc w:val="center"/>
              <w:rPr>
                <w:rFonts w:asciiTheme="minorEastAsia" w:hAnsiTheme="minorEastAsia"/>
                <w:color w:val="auto"/>
                <w:sz w:val="18"/>
                <w:szCs w:val="18"/>
              </w:rPr>
            </w:pPr>
            <w:r>
              <w:rPr>
                <w:rFonts w:hint="eastAsia" w:asciiTheme="minorEastAsia" w:hAnsiTheme="minorEastAsia"/>
                <w:color w:val="auto"/>
                <w:sz w:val="18"/>
                <w:szCs w:val="18"/>
              </w:rPr>
              <w:t>公益活动</w:t>
            </w:r>
          </w:p>
        </w:tc>
        <w:tc>
          <w:tcPr>
            <w:tcW w:w="6237"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主办或承办面向全行业的公益活动，指企业受协会委托，或者企业建议并经协会同意，由企业主办或承办的面向全行业</w:t>
            </w:r>
            <w:r>
              <w:rPr>
                <w:rFonts w:hint="eastAsia" w:asciiTheme="minorEastAsia" w:hAnsiTheme="minorEastAsia"/>
                <w:color w:val="auto"/>
                <w:sz w:val="18"/>
                <w:szCs w:val="18"/>
                <w:lang w:eastAsia="zh-CN"/>
              </w:rPr>
              <w:t>且</w:t>
            </w:r>
            <w:r>
              <w:rPr>
                <w:rFonts w:hint="eastAsia" w:asciiTheme="minorEastAsia" w:hAnsiTheme="minorEastAsia"/>
                <w:color w:val="auto"/>
                <w:sz w:val="18"/>
                <w:szCs w:val="18"/>
              </w:rPr>
              <w:t>具有一定规模的公益性业务技术讲座与公益性文化体育卫生等活动。</w:t>
            </w:r>
          </w:p>
        </w:tc>
        <w:tc>
          <w:tcPr>
            <w:tcW w:w="993" w:type="dxa"/>
            <w:vAlign w:val="center"/>
          </w:tcPr>
          <w:p>
            <w:pPr>
              <w:jc w:val="center"/>
              <w:rPr>
                <w:rFonts w:asciiTheme="minorEastAsia" w:hAnsiTheme="minorEastAsia"/>
                <w:b/>
                <w:color w:val="auto"/>
                <w:sz w:val="18"/>
                <w:szCs w:val="18"/>
                <w:u w:val="single"/>
              </w:rPr>
            </w:pPr>
            <w:r>
              <w:rPr>
                <w:rFonts w:hint="eastAsia" w:asciiTheme="minorEastAsia" w:hAnsiTheme="minorEastAsia"/>
                <w:b/>
                <w:color w:val="auto"/>
                <w:sz w:val="18"/>
                <w:szCs w:val="18"/>
                <w:u w:val="single"/>
              </w:rPr>
              <w:t>2</w:t>
            </w:r>
          </w:p>
        </w:tc>
        <w:tc>
          <w:tcPr>
            <w:tcW w:w="4961" w:type="dxa"/>
            <w:vAlign w:val="center"/>
          </w:tcPr>
          <w:p>
            <w:pPr>
              <w:ind w:firstLine="360" w:firstLineChars="200"/>
              <w:rPr>
                <w:rFonts w:asciiTheme="minorEastAsia" w:hAnsiTheme="minorEastAsia"/>
                <w:color w:val="auto"/>
                <w:sz w:val="18"/>
                <w:szCs w:val="18"/>
              </w:rPr>
            </w:pPr>
            <w:r>
              <w:rPr>
                <w:rFonts w:hint="eastAsia" w:asciiTheme="minorEastAsia" w:hAnsiTheme="minorEastAsia"/>
                <w:color w:val="auto"/>
                <w:sz w:val="18"/>
                <w:szCs w:val="18"/>
              </w:rPr>
              <w:t>主办依权重计分，承办依权重的70</w:t>
            </w:r>
            <w:r>
              <w:rPr>
                <w:rFonts w:hint="eastAsia" w:asciiTheme="minorEastAsia" w:hAnsiTheme="minorEastAsia"/>
                <w:color w:val="auto"/>
                <w:sz w:val="18"/>
                <w:szCs w:val="18"/>
                <w:lang w:val="en-US" w:eastAsia="zh-CN"/>
              </w:rPr>
              <w:t>%</w:t>
            </w:r>
            <w:r>
              <w:rPr>
                <w:rFonts w:hint="eastAsia" w:asciiTheme="minorEastAsia" w:hAnsiTheme="minorEastAsia"/>
                <w:color w:val="auto"/>
                <w:sz w:val="18"/>
                <w:szCs w:val="18"/>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242" w:type="dxa"/>
            <w:vMerge w:val="continue"/>
          </w:tcPr>
          <w:p>
            <w:pPr>
              <w:spacing w:line="720" w:lineRule="auto"/>
              <w:rPr>
                <w:rFonts w:asciiTheme="minorEastAsia" w:hAnsiTheme="minorEastAsia"/>
                <w:b/>
                <w:color w:val="auto"/>
                <w:sz w:val="18"/>
                <w:szCs w:val="18"/>
              </w:rPr>
            </w:pPr>
          </w:p>
        </w:tc>
        <w:tc>
          <w:tcPr>
            <w:tcW w:w="1701" w:type="dxa"/>
            <w:vAlign w:val="center"/>
          </w:tcPr>
          <w:p>
            <w:pPr>
              <w:jc w:val="center"/>
              <w:rPr>
                <w:rFonts w:hint="eastAsia" w:asciiTheme="minorEastAsia" w:hAnsiTheme="minorEastAsia"/>
                <w:color w:val="auto"/>
                <w:sz w:val="18"/>
                <w:szCs w:val="18"/>
              </w:rPr>
            </w:pPr>
            <w:r>
              <w:rPr>
                <w:rFonts w:hint="eastAsia" w:asciiTheme="minorEastAsia" w:hAnsiTheme="minorEastAsia"/>
                <w:color w:val="auto"/>
                <w:sz w:val="18"/>
                <w:szCs w:val="18"/>
              </w:rPr>
              <w:t>6.5配合协会服务全行业的状况</w:t>
            </w:r>
          </w:p>
        </w:tc>
        <w:tc>
          <w:tcPr>
            <w:tcW w:w="6237" w:type="dxa"/>
            <w:vAlign w:val="center"/>
          </w:tcPr>
          <w:p>
            <w:pPr>
              <w:ind w:firstLine="360" w:firstLineChars="200"/>
              <w:rPr>
                <w:rFonts w:hint="eastAsia" w:asciiTheme="minorEastAsia" w:hAnsiTheme="minorEastAsia"/>
                <w:color w:val="auto"/>
                <w:sz w:val="18"/>
                <w:szCs w:val="18"/>
              </w:rPr>
            </w:pPr>
            <w:r>
              <w:rPr>
                <w:rFonts w:hint="eastAsia" w:asciiTheme="minorEastAsia" w:hAnsiTheme="minorEastAsia"/>
                <w:color w:val="auto"/>
                <w:sz w:val="18"/>
                <w:szCs w:val="18"/>
              </w:rPr>
              <w:t>配合协会服务全行业的状况，指企业对省工程造价协会工作积极建言献策，认真参加协会组织的引导工程造价咨询行业持续健康发展的各类活动，并能组织本企业全体专业人员加入协会个人会员，且在缴纳本企业单位会员会费的同时，缴纳本企业个人会员会费。</w:t>
            </w:r>
          </w:p>
        </w:tc>
        <w:tc>
          <w:tcPr>
            <w:tcW w:w="993" w:type="dxa"/>
            <w:vAlign w:val="center"/>
          </w:tcPr>
          <w:p>
            <w:pPr>
              <w:jc w:val="center"/>
              <w:rPr>
                <w:rFonts w:hint="eastAsia" w:asciiTheme="minorEastAsia" w:hAnsiTheme="minorEastAsia"/>
                <w:b/>
                <w:color w:val="auto"/>
                <w:sz w:val="18"/>
                <w:szCs w:val="18"/>
                <w:u w:val="single"/>
              </w:rPr>
            </w:pPr>
            <w:r>
              <w:rPr>
                <w:rFonts w:hint="eastAsia" w:asciiTheme="minorEastAsia" w:hAnsiTheme="minorEastAsia"/>
                <w:b/>
                <w:color w:val="auto"/>
                <w:sz w:val="18"/>
                <w:szCs w:val="18"/>
                <w:u w:val="single"/>
              </w:rPr>
              <w:t>3</w:t>
            </w:r>
          </w:p>
        </w:tc>
        <w:tc>
          <w:tcPr>
            <w:tcW w:w="4961" w:type="dxa"/>
            <w:vAlign w:val="center"/>
          </w:tcPr>
          <w:p>
            <w:pPr>
              <w:ind w:firstLine="360" w:firstLineChars="200"/>
              <w:rPr>
                <w:rFonts w:hint="eastAsia" w:asciiTheme="minorEastAsia" w:hAnsiTheme="minorEastAsia"/>
                <w:color w:val="auto"/>
                <w:sz w:val="18"/>
                <w:szCs w:val="18"/>
              </w:rPr>
            </w:pPr>
            <w:r>
              <w:rPr>
                <w:rFonts w:hint="eastAsia" w:asciiTheme="minorEastAsia" w:hAnsiTheme="minorEastAsia"/>
                <w:color w:val="auto"/>
                <w:sz w:val="18"/>
                <w:szCs w:val="18"/>
              </w:rPr>
              <w:t>企业全体专业人员（含一级、二级造价工程师</w:t>
            </w:r>
            <w:r>
              <w:rPr>
                <w:rFonts w:hint="eastAsia" w:asciiTheme="minorEastAsia" w:hAnsiTheme="minorEastAsia"/>
                <w:color w:val="auto"/>
                <w:sz w:val="18"/>
                <w:szCs w:val="18"/>
                <w:lang w:eastAsia="zh-CN"/>
              </w:rPr>
              <w:t>、造价员</w:t>
            </w:r>
            <w:r>
              <w:rPr>
                <w:rFonts w:hint="eastAsia" w:asciiTheme="minorEastAsia" w:hAnsiTheme="minorEastAsia"/>
                <w:color w:val="auto"/>
                <w:sz w:val="18"/>
                <w:szCs w:val="18"/>
              </w:rPr>
              <w:t>与其它建设类一级注册工程师）入会且在评价期内缴纳会费的，依权重计分；其余依专业人员入会率乘以权重计分（专业人员入会率=入会专业人员数/专业人员的总数×100%）。</w:t>
            </w:r>
          </w:p>
        </w:tc>
      </w:tr>
    </w:tbl>
    <w:p>
      <w:pPr>
        <w:widowControl/>
        <w:jc w:val="left"/>
        <w:rPr>
          <w:rFonts w:hint="eastAsia" w:ascii="仿宋" w:hAnsi="仿宋" w:eastAsia="仿宋"/>
          <w:sz w:val="32"/>
          <w:szCs w:val="32"/>
          <w:lang w:val="en-US" w:eastAsia="zh-CN"/>
        </w:rPr>
        <w:sectPr>
          <w:pgSz w:w="16838" w:h="11906" w:orient="landscape"/>
          <w:pgMar w:top="193" w:right="969" w:bottom="249" w:left="969" w:header="851" w:footer="992" w:gutter="0"/>
          <w:cols w:space="0" w:num="1"/>
          <w:rtlGutter w:val="0"/>
          <w:docGrid w:type="lines" w:linePitch="312" w:charSpace="0"/>
        </w:sectPr>
      </w:pPr>
    </w:p>
    <w:p>
      <w:pPr>
        <w:widowControl/>
        <w:jc w:val="left"/>
        <w:rPr>
          <w:rFonts w:hint="default" w:ascii="仿宋" w:hAnsi="仿宋" w:eastAsia="仿宋"/>
          <w:sz w:val="32"/>
          <w:szCs w:val="32"/>
          <w:lang w:val="en-US" w:eastAsia="zh-CN"/>
        </w:rPr>
      </w:pPr>
      <w:r>
        <w:rPr>
          <w:rFonts w:hint="eastAsia" w:ascii="仿宋" w:hAnsi="仿宋" w:eastAsia="仿宋"/>
          <w:sz w:val="32"/>
          <w:szCs w:val="32"/>
          <w:lang w:val="en-US" w:eastAsia="zh-CN"/>
        </w:rPr>
        <w:t>附件2</w:t>
      </w:r>
    </w:p>
    <w:p>
      <w:pPr>
        <w:widowControl/>
        <w:jc w:val="center"/>
        <w:rPr>
          <w:rFonts w:hint="eastAsia" w:ascii="宋体" w:hAnsi="宋体" w:eastAsia="宋体" w:cs="宋体"/>
          <w:b/>
          <w:bCs/>
          <w:sz w:val="44"/>
          <w:szCs w:val="44"/>
          <w:lang w:val="en-US" w:eastAsia="zh-CN"/>
        </w:rPr>
      </w:pPr>
    </w:p>
    <w:p>
      <w:pPr>
        <w:widowControl/>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陕西省工程造价咨询先进企业和30强企业</w:t>
      </w:r>
    </w:p>
    <w:p>
      <w:pPr>
        <w:widowControl/>
        <w:jc w:val="center"/>
        <w:rPr>
          <w:rFonts w:hint="eastAsia" w:ascii="隶书" w:hAnsi="隶书" w:eastAsia="隶书" w:cs="隶书"/>
          <w:sz w:val="44"/>
          <w:szCs w:val="44"/>
          <w:lang w:val="en-US" w:eastAsia="zh-CN"/>
        </w:rPr>
      </w:pPr>
      <w:r>
        <w:rPr>
          <w:rFonts w:hint="eastAsia" w:ascii="宋体" w:hAnsi="宋体" w:eastAsia="宋体" w:cs="宋体"/>
          <w:b/>
          <w:bCs/>
          <w:sz w:val="44"/>
          <w:szCs w:val="44"/>
          <w:lang w:val="en-US" w:eastAsia="zh-CN"/>
        </w:rPr>
        <w:t>评价委员会企业代表管理规定</w:t>
      </w:r>
    </w:p>
    <w:p>
      <w:pPr>
        <w:widowControl/>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（征求意见稿）</w:t>
      </w:r>
    </w:p>
    <w:p>
      <w:pPr>
        <w:widowControl/>
        <w:jc w:val="center"/>
        <w:rPr>
          <w:rFonts w:hint="eastAsia" w:asciiTheme="majorEastAsia" w:hAnsiTheme="majorEastAsia" w:eastAsiaTheme="majorEastAsia" w:cstheme="majorEastAsia"/>
          <w:sz w:val="32"/>
          <w:szCs w:val="32"/>
          <w:lang w:val="en-US" w:eastAsia="zh-CN"/>
        </w:rPr>
      </w:pP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第一条 依据《陕西省工程造价咨询先进企业和30强企业评价办法》第十二条，制定本规定。</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第二条 评价委员会企业代表，是评价委员会的组成人员，在申报企业所确定的“企业申报工作代表”中产生。</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第三条 “企业申报工作代表”应具备的条件：</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1、身体健康，具有良好的职业道德；</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2、具有注册一级造价工程师职业资格或其他建设类注册一级职业资格，在企业担任中层以上的高管职务；</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3、在企业负责申报工作，熟悉评价办法与评价标准，具有敏锐的分析、判断能力，热心评价活动。</w:t>
      </w:r>
    </w:p>
    <w:p>
      <w:pPr>
        <w:widowControl/>
        <w:numPr>
          <w:ilvl w:val="0"/>
          <w:numId w:val="0"/>
        </w:numPr>
        <w:ind w:firstLine="600" w:firstLineChars="200"/>
        <w:jc w:val="left"/>
        <w:rPr>
          <w:rFonts w:hint="default"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第四条 各申报企业必须依据上述条件，认真确定本企业的“企业申报工作代表”。企业上报评价期的申报资料，必须在《评价综合申请表》中依据规定的内容填写“企业申报工作代表”的信息。</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第五条 评价委员会中的企业代表人数，依据每一评价期申报企业数量的四分之一确定。</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第六条 评价委员会企业代表的产生，在每一评价期企业申报结束后，由评价办公室在申报企业所填报的“企业申报工作代表”中随机抽取。</w:t>
      </w:r>
    </w:p>
    <w:p>
      <w:pPr>
        <w:widowControl/>
        <w:numPr>
          <w:ilvl w:val="0"/>
          <w:numId w:val="0"/>
        </w:numPr>
        <w:ind w:firstLine="600" w:firstLineChars="200"/>
        <w:jc w:val="left"/>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第七条 评价委员会企业代表履职，代表的是全体申报企业，而不是其所在的企业。企业代表在履职中必须遵守《陕西省工程造价咨询先进企业和30强企业评价办法》中的纪律规定。</w:t>
      </w:r>
    </w:p>
    <w:p>
      <w:pPr>
        <w:widowControl/>
        <w:numPr>
          <w:ilvl w:val="0"/>
          <w:numId w:val="0"/>
        </w:numPr>
        <w:ind w:firstLine="600" w:firstLineChars="200"/>
        <w:jc w:val="left"/>
        <w:rPr>
          <w:rFonts w:ascii="仿宋" w:hAnsi="仿宋" w:eastAsia="仿宋"/>
          <w:sz w:val="32"/>
          <w:szCs w:val="32"/>
        </w:rPr>
        <w:sectPr>
          <w:pgSz w:w="11906" w:h="16838"/>
          <w:pgMar w:top="1440" w:right="1797" w:bottom="1440" w:left="1797" w:header="851" w:footer="992" w:gutter="0"/>
          <w:cols w:space="425" w:num="1"/>
          <w:docGrid w:type="linesAndChars" w:linePitch="312" w:charSpace="0"/>
        </w:sectPr>
      </w:pPr>
      <w:r>
        <w:rPr>
          <w:rFonts w:hint="eastAsia" w:ascii="华文仿宋" w:hAnsi="华文仿宋" w:eastAsia="华文仿宋" w:cs="华文仿宋"/>
          <w:sz w:val="30"/>
          <w:szCs w:val="30"/>
          <w:lang w:val="en-US" w:eastAsia="zh-CN"/>
        </w:rPr>
        <w:t>第八条 评价委员会企业代表所在的企业，应当积极支持企业代表的工作，保证其参与评价委员会工作的时间。在一次评价活动中，企业不得变更“企业申报工作代表”。</w:t>
      </w:r>
    </w:p>
    <w:p>
      <w:pPr>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3</w:t>
      </w:r>
    </w:p>
    <w:p>
      <w:pPr>
        <w:rPr>
          <w:rFonts w:hint="eastAsia"/>
          <w:lang w:val="en-US" w:eastAsia="zh-CN"/>
        </w:rPr>
      </w:pPr>
    </w:p>
    <w:p>
      <w:pPr>
        <w:spacing w:line="460" w:lineRule="exact"/>
        <w:jc w:val="center"/>
        <w:rPr>
          <w:rFonts w:hint="eastAsia" w:cs="仿宋" w:asciiTheme="majorEastAsia" w:hAnsiTheme="majorEastAsia" w:eastAsiaTheme="majorEastAsia"/>
          <w:b/>
          <w:sz w:val="44"/>
          <w:szCs w:val="44"/>
        </w:rPr>
      </w:pPr>
    </w:p>
    <w:p>
      <w:pPr>
        <w:spacing w:line="460" w:lineRule="exact"/>
        <w:jc w:val="center"/>
        <w:rPr>
          <w:rFonts w:hint="eastAsia" w:cs="仿宋" w:asciiTheme="majorEastAsia" w:hAnsiTheme="majorEastAsia" w:eastAsiaTheme="majorEastAsia"/>
          <w:b/>
          <w:sz w:val="44"/>
          <w:szCs w:val="44"/>
        </w:rPr>
      </w:pPr>
    </w:p>
    <w:p>
      <w:pPr>
        <w:spacing w:line="460" w:lineRule="exact"/>
        <w:jc w:val="center"/>
        <w:rPr>
          <w:rFonts w:hint="eastAsia" w:cs="仿宋" w:asciiTheme="majorEastAsia" w:hAnsiTheme="majorEastAsia" w:eastAsiaTheme="majorEastAsia"/>
          <w:b/>
          <w:sz w:val="44"/>
          <w:szCs w:val="44"/>
        </w:rPr>
      </w:pPr>
    </w:p>
    <w:p>
      <w:pPr>
        <w:spacing w:line="460" w:lineRule="exact"/>
        <w:jc w:val="center"/>
        <w:rPr>
          <w:rFonts w:cs="仿宋" w:asciiTheme="majorEastAsia" w:hAnsiTheme="majorEastAsia" w:eastAsiaTheme="majorEastAsia"/>
          <w:b/>
          <w:sz w:val="44"/>
          <w:szCs w:val="44"/>
        </w:rPr>
      </w:pPr>
      <w:r>
        <w:rPr>
          <w:rFonts w:hint="eastAsia" w:cs="仿宋" w:asciiTheme="majorEastAsia" w:hAnsiTheme="majorEastAsia" w:eastAsiaTheme="majorEastAsia"/>
          <w:b/>
          <w:sz w:val="36"/>
          <w:szCs w:val="36"/>
        </w:rPr>
        <w:t>陕西省工程造价咨询先进企业和30强企业评价</w:t>
      </w:r>
    </w:p>
    <w:p>
      <w:pPr>
        <w:jc w:val="center"/>
        <w:rPr>
          <w:rFonts w:hint="eastAsia" w:cs="仿宋" w:asciiTheme="majorEastAsia" w:hAnsiTheme="majorEastAsia" w:eastAsiaTheme="majorEastAsia"/>
          <w:b/>
          <w:sz w:val="36"/>
          <w:szCs w:val="36"/>
          <w:lang w:eastAsia="zh-CN"/>
        </w:rPr>
      </w:pPr>
    </w:p>
    <w:p>
      <w:pPr>
        <w:jc w:val="center"/>
        <w:rPr>
          <w:rFonts w:hint="default"/>
          <w:lang w:val="en-US" w:eastAsia="zh-CN"/>
        </w:rPr>
      </w:pPr>
      <w:r>
        <w:rPr>
          <w:rFonts w:hint="eastAsia" w:cs="仿宋" w:asciiTheme="majorEastAsia" w:hAnsiTheme="majorEastAsia" w:eastAsiaTheme="majorEastAsia"/>
          <w:b/>
          <w:sz w:val="36"/>
          <w:szCs w:val="36"/>
          <w:lang w:eastAsia="zh-CN"/>
        </w:rPr>
        <w:t>申</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报</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资</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料</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rPr>
        <w:t>表</w:t>
      </w: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eastAsia" w:cs="仿宋" w:asciiTheme="majorEastAsia" w:hAnsiTheme="majorEastAsia" w:eastAsiaTheme="majorEastAsia"/>
          <w:sz w:val="32"/>
          <w:szCs w:val="32"/>
        </w:rPr>
      </w:pPr>
    </w:p>
    <w:p>
      <w:pPr>
        <w:spacing w:line="460" w:lineRule="exact"/>
        <w:rPr>
          <w:rFonts w:hint="default" w:cs="仿宋" w:asciiTheme="majorEastAsia" w:hAnsiTheme="majorEastAsia" w:eastAsiaTheme="majorEastAsia"/>
          <w:sz w:val="32"/>
          <w:szCs w:val="32"/>
          <w:lang w:val="en-US" w:eastAsia="zh-CN"/>
        </w:rPr>
      </w:pPr>
      <w:r>
        <w:rPr>
          <w:rFonts w:hint="eastAsia" w:cs="仿宋" w:asciiTheme="majorEastAsia" w:hAnsiTheme="majorEastAsia" w:eastAsiaTheme="majorEastAsia"/>
          <w:sz w:val="32"/>
          <w:szCs w:val="32"/>
        </w:rPr>
        <w:t>附件3</w:t>
      </w:r>
      <w:r>
        <w:rPr>
          <w:rFonts w:hint="eastAsia" w:cs="仿宋" w:asciiTheme="majorEastAsia" w:hAnsiTheme="majorEastAsia" w:eastAsiaTheme="majorEastAsia"/>
          <w:sz w:val="32"/>
          <w:szCs w:val="32"/>
          <w:lang w:val="en-US" w:eastAsia="zh-CN"/>
        </w:rPr>
        <w:t>-1</w:t>
      </w:r>
    </w:p>
    <w:p>
      <w:pPr>
        <w:spacing w:line="460" w:lineRule="exact"/>
        <w:rPr>
          <w:rFonts w:cs="仿宋" w:asciiTheme="majorEastAsia" w:hAnsiTheme="majorEastAsia" w:eastAsiaTheme="majorEastAsia"/>
          <w:sz w:val="32"/>
          <w:szCs w:val="32"/>
        </w:rPr>
      </w:pPr>
    </w:p>
    <w:p>
      <w:pPr>
        <w:spacing w:line="4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陕西省工程造价咨询先进企业和30强企业评价</w:t>
      </w:r>
    </w:p>
    <w:tbl>
      <w:tblPr>
        <w:tblStyle w:val="4"/>
        <w:tblpPr w:leftFromText="180" w:rightFromText="180" w:vertAnchor="text" w:horzAnchor="margin" w:tblpX="-113" w:tblpY="964"/>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270"/>
        <w:gridCol w:w="820"/>
        <w:gridCol w:w="1830"/>
        <w:gridCol w:w="17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trPr>
        <w:tc>
          <w:tcPr>
            <w:tcW w:w="90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依据陕西省建设工程造价管理协会《关于开展（    ～    ）年度陕西省工程造价咨询先进企业和30强企业评价工作的通知》，我单位自愿申请参加本期评价活动。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lang w:eastAsia="zh-CN"/>
              </w:rPr>
            </w:pPr>
            <w:r>
              <w:rPr>
                <w:rFonts w:hint="eastAsia" w:ascii="仿宋" w:hAnsi="仿宋" w:eastAsia="仿宋" w:cs="仿宋"/>
                <w:bCs/>
                <w:sz w:val="28"/>
                <w:szCs w:val="28"/>
              </w:rPr>
              <w:t>本单位承诺：对所报送的全部资料、数据的真实性负责,若有虚假，自愿承担后果并接受处罚</w:t>
            </w:r>
            <w:r>
              <w:rPr>
                <w:rFonts w:hint="eastAsia" w:ascii="仿宋" w:hAnsi="仿宋" w:eastAsia="仿宋" w:cs="仿宋"/>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lang w:eastAsia="zh-CN"/>
              </w:rPr>
            </w:pP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                       </w:t>
            </w:r>
          </w:p>
          <w:p>
            <w:pPr>
              <w:spacing w:line="460" w:lineRule="exact"/>
              <w:ind w:firstLine="4200" w:firstLineChars="1500"/>
              <w:rPr>
                <w:rFonts w:ascii="仿宋" w:hAnsi="仿宋" w:eastAsia="仿宋" w:cs="仿宋"/>
                <w:bCs/>
                <w:sz w:val="28"/>
                <w:szCs w:val="28"/>
              </w:rPr>
            </w:pPr>
            <w:r>
              <w:rPr>
                <w:rFonts w:hint="eastAsia" w:ascii="仿宋" w:hAnsi="仿宋" w:eastAsia="仿宋" w:cs="仿宋"/>
                <w:bCs/>
                <w:sz w:val="28"/>
                <w:szCs w:val="28"/>
              </w:rPr>
              <w:t>单      位（盖章）：</w:t>
            </w:r>
          </w:p>
          <w:p>
            <w:pPr>
              <w:spacing w:line="460" w:lineRule="exact"/>
              <w:ind w:firstLine="560" w:firstLineChars="200"/>
              <w:rPr>
                <w:rFonts w:ascii="仿宋" w:hAnsi="仿宋" w:eastAsia="仿宋" w:cs="仿宋"/>
                <w:bCs/>
                <w:sz w:val="28"/>
                <w:szCs w:val="28"/>
              </w:rPr>
            </w:pP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                          法定代表人（签字）：</w:t>
            </w:r>
          </w:p>
          <w:p>
            <w:pPr>
              <w:spacing w:line="460" w:lineRule="exact"/>
              <w:ind w:firstLine="560" w:firstLineChars="200"/>
              <w:rPr>
                <w:rFonts w:ascii="仿宋" w:hAnsi="仿宋" w:eastAsia="仿宋" w:cs="仿宋"/>
                <w:bCs/>
                <w:sz w:val="28"/>
                <w:szCs w:val="28"/>
              </w:rPr>
            </w:pPr>
            <w:r>
              <w:rPr>
                <w:rFonts w:hint="eastAsia" w:ascii="仿宋" w:hAnsi="仿宋" w:eastAsia="仿宋" w:cs="仿宋"/>
                <w:bCs/>
                <w:sz w:val="28"/>
                <w:szCs w:val="28"/>
              </w:rPr>
              <w:t xml:space="preserve">                              </w:t>
            </w:r>
          </w:p>
          <w:p>
            <w:pPr>
              <w:spacing w:line="460" w:lineRule="exact"/>
              <w:ind w:firstLine="5040" w:firstLineChars="1800"/>
              <w:rPr>
                <w:rFonts w:ascii="仿宋" w:hAnsi="仿宋" w:eastAsia="仿宋" w:cs="仿宋"/>
                <w:bCs/>
                <w:sz w:val="28"/>
                <w:szCs w:val="28"/>
              </w:rPr>
            </w:pPr>
            <w:r>
              <w:rPr>
                <w:rFonts w:hint="eastAsia" w:ascii="仿宋" w:hAnsi="仿宋" w:eastAsia="仿宋" w:cs="仿宋"/>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90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Theme="minorEastAsia" w:hAnsiTheme="minorEastAsia" w:cstheme="minorEastAsia"/>
                <w:b/>
                <w:bCs/>
                <w:sz w:val="28"/>
                <w:szCs w:val="28"/>
              </w:rPr>
              <w:t>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_GB2312"/>
              </w:rPr>
              <w:t>企业名称</w:t>
            </w:r>
          </w:p>
        </w:tc>
        <w:tc>
          <w:tcPr>
            <w:tcW w:w="39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注册资金（万元）</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_GB2312"/>
              </w:rPr>
              <w:t>地    址</w:t>
            </w:r>
          </w:p>
        </w:tc>
        <w:tc>
          <w:tcPr>
            <w:tcW w:w="39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_GB2312"/>
              </w:rPr>
              <w:t>邮    编</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_GB2312"/>
              </w:rPr>
              <w:t>资质等级</w:t>
            </w:r>
          </w:p>
        </w:tc>
        <w:tc>
          <w:tcPr>
            <w:tcW w:w="39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_GB2312"/>
              </w:rPr>
              <w:t>证书号码</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cs="仿宋_GB2312"/>
              </w:rPr>
              <w:t>成立时间</w:t>
            </w:r>
          </w:p>
        </w:tc>
        <w:tc>
          <w:tcPr>
            <w:tcW w:w="39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_GB2312"/>
              </w:rPr>
              <w:t>资质取得时间</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入会时间</w:t>
            </w:r>
          </w:p>
        </w:tc>
        <w:tc>
          <w:tcPr>
            <w:tcW w:w="3920" w:type="dxa"/>
            <w:gridSpan w:val="3"/>
            <w:tcBorders>
              <w:top w:val="single" w:color="auto" w:sz="4" w:space="0"/>
              <w:left w:val="single" w:color="auto" w:sz="4" w:space="0"/>
              <w:bottom w:val="single" w:color="auto" w:sz="4" w:space="0"/>
              <w:right w:val="single" w:color="auto" w:sz="4" w:space="0"/>
            </w:tcBorders>
            <w:vAlign w:val="center"/>
          </w:tcPr>
          <w:p>
            <w:pPr>
              <w:ind w:firstLine="1470" w:firstLineChars="700"/>
              <w:rPr>
                <w:rFonts w:ascii="宋体" w:hAnsi="宋体"/>
              </w:rPr>
            </w:pPr>
            <w:r>
              <w:rPr>
                <w:rFonts w:hint="eastAsia" w:ascii="宋体" w:hAnsi="宋体"/>
              </w:rPr>
              <w:t>年   月加入陕价协</w:t>
            </w:r>
          </w:p>
        </w:tc>
        <w:tc>
          <w:tcPr>
            <w:tcW w:w="177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rPr>
            </w:pPr>
            <w:r>
              <w:rPr>
                <w:rFonts w:hint="eastAsia" w:ascii="宋体" w:hAnsi="宋体" w:cs="仿宋_GB2312"/>
              </w:rPr>
              <w:t>企业网址</w:t>
            </w:r>
          </w:p>
        </w:tc>
        <w:tc>
          <w:tcPr>
            <w:tcW w:w="197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36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3920" w:type="dxa"/>
            <w:gridSpan w:val="3"/>
            <w:tcBorders>
              <w:top w:val="single" w:color="auto" w:sz="4" w:space="0"/>
              <w:left w:val="single" w:color="auto" w:sz="4" w:space="0"/>
              <w:bottom w:val="single" w:color="auto" w:sz="4" w:space="0"/>
              <w:right w:val="single" w:color="auto" w:sz="4" w:space="0"/>
            </w:tcBorders>
            <w:vAlign w:val="center"/>
          </w:tcPr>
          <w:p>
            <w:pPr>
              <w:ind w:firstLine="1470" w:firstLineChars="700"/>
              <w:rPr>
                <w:rFonts w:ascii="宋体" w:hAnsi="宋体"/>
              </w:rPr>
            </w:pPr>
            <w:r>
              <w:rPr>
                <w:rFonts w:hint="eastAsia" w:ascii="宋体" w:hAnsi="宋体"/>
              </w:rPr>
              <w:t>年   月加入中价协</w:t>
            </w:r>
          </w:p>
        </w:tc>
        <w:tc>
          <w:tcPr>
            <w:tcW w:w="177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rPr>
            </w:pPr>
            <w:r>
              <w:rPr>
                <w:rFonts w:hint="eastAsia" w:ascii="宋体" w:hAnsi="宋体"/>
                <w:szCs w:val="21"/>
              </w:rPr>
              <w:t>电子邮箱</w:t>
            </w:r>
          </w:p>
        </w:tc>
        <w:tc>
          <w:tcPr>
            <w:tcW w:w="197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13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rPr>
            </w:pPr>
            <w:r>
              <w:rPr>
                <w:rFonts w:hint="eastAsia" w:ascii="宋体" w:hAnsi="宋体" w:cs="仿宋_GB2312"/>
              </w:rPr>
              <w:t>法定代表人</w:t>
            </w:r>
          </w:p>
        </w:tc>
        <w:tc>
          <w:tcPr>
            <w:tcW w:w="12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_GB2312"/>
              </w:rPr>
              <w:t>电话</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仿宋_GB2312"/>
              </w:rPr>
              <w:t>手机</w:t>
            </w: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360"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cs="仿宋_GB2312"/>
                <w:lang w:eastAsia="zh-CN"/>
              </w:rPr>
            </w:pPr>
            <w:r>
              <w:rPr>
                <w:rFonts w:hint="eastAsia" w:ascii="宋体" w:hAnsi="宋体" w:cs="仿宋_GB2312"/>
                <w:lang w:eastAsia="zh-CN"/>
              </w:rPr>
              <w:t>企业申报</w:t>
            </w:r>
          </w:p>
          <w:p>
            <w:pPr>
              <w:spacing w:line="300" w:lineRule="exact"/>
              <w:jc w:val="center"/>
              <w:rPr>
                <w:rFonts w:ascii="宋体" w:hAnsi="宋体" w:cs="仿宋_GB2312"/>
              </w:rPr>
            </w:pPr>
            <w:r>
              <w:rPr>
                <w:rFonts w:hint="eastAsia" w:ascii="宋体" w:hAnsi="宋体" w:cs="仿宋_GB2312"/>
                <w:lang w:eastAsia="zh-CN"/>
              </w:rPr>
              <w:t>工作</w:t>
            </w:r>
            <w:r>
              <w:rPr>
                <w:rFonts w:hint="eastAsia" w:ascii="宋体" w:hAnsi="宋体" w:cs="仿宋_GB2312"/>
              </w:rPr>
              <w:t>代表</w:t>
            </w:r>
          </w:p>
        </w:tc>
        <w:tc>
          <w:tcPr>
            <w:tcW w:w="127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职务</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仿宋_GB2312"/>
                <w:lang w:eastAsia="zh-CN"/>
              </w:rPr>
            </w:pPr>
            <w:r>
              <w:rPr>
                <w:rFonts w:hint="eastAsia" w:ascii="宋体" w:hAnsi="宋体" w:cs="仿宋_GB2312"/>
                <w:lang w:eastAsia="zh-CN"/>
              </w:rPr>
              <w:t>职业资格及</w:t>
            </w:r>
          </w:p>
          <w:p>
            <w:pPr>
              <w:spacing w:line="240" w:lineRule="auto"/>
              <w:jc w:val="center"/>
              <w:rPr>
                <w:rFonts w:hint="eastAsia" w:ascii="宋体" w:hAnsi="宋体" w:cs="仿宋_GB2312" w:eastAsiaTheme="minorEastAsia"/>
                <w:lang w:eastAsia="zh-CN"/>
              </w:rPr>
            </w:pPr>
            <w:r>
              <w:rPr>
                <w:rFonts w:hint="eastAsia" w:ascii="宋体" w:hAnsi="宋体" w:cs="仿宋_GB2312"/>
                <w:lang w:eastAsia="zh-CN"/>
              </w:rPr>
              <w:t>证书号码</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36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127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rPr>
            </w:pPr>
            <w:r>
              <w:rPr>
                <w:rFonts w:hint="eastAsia" w:ascii="宋体" w:hAnsi="宋体" w:cs="仿宋_GB2312"/>
              </w:rPr>
              <w:t>手机</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rP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rPr>
            </w:pPr>
            <w:r>
              <w:rPr>
                <w:rFonts w:hint="eastAsia" w:ascii="宋体" w:hAnsi="宋体"/>
                <w:szCs w:val="21"/>
              </w:rPr>
              <w:t>电子邮箱</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r>
    </w:tbl>
    <w:p>
      <w:pPr>
        <w:spacing w:line="460" w:lineRule="exact"/>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lang w:eastAsia="zh-CN"/>
        </w:rPr>
        <w:t>综</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合</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申</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lang w:eastAsia="zh-CN"/>
        </w:rPr>
        <w:t>请</w:t>
      </w:r>
      <w:r>
        <w:rPr>
          <w:rFonts w:hint="eastAsia" w:cs="仿宋" w:asciiTheme="majorEastAsia" w:hAnsiTheme="majorEastAsia" w:eastAsiaTheme="majorEastAsia"/>
          <w:b/>
          <w:sz w:val="36"/>
          <w:szCs w:val="36"/>
          <w:lang w:val="en-US" w:eastAsia="zh-CN"/>
        </w:rPr>
        <w:t xml:space="preserve"> </w:t>
      </w:r>
      <w:r>
        <w:rPr>
          <w:rFonts w:hint="eastAsia" w:cs="仿宋" w:asciiTheme="majorEastAsia" w:hAnsiTheme="majorEastAsia" w:eastAsiaTheme="majorEastAsia"/>
          <w:b/>
          <w:sz w:val="36"/>
          <w:szCs w:val="36"/>
        </w:rPr>
        <w:t>表</w:t>
      </w:r>
    </w:p>
    <w:p>
      <w:pPr>
        <w:spacing w:line="360" w:lineRule="auto"/>
        <w:rPr>
          <w:rFonts w:ascii="宋体" w:hAnsi="宋体" w:cs="仿宋_GB2312"/>
        </w:rPr>
      </w:pPr>
    </w:p>
    <w:p>
      <w:pPr>
        <w:spacing w:line="360" w:lineRule="auto"/>
        <w:jc w:val="center"/>
        <w:rPr>
          <w:rFonts w:ascii="宋体" w:hAnsi="宋体" w:cs="仿宋_GB2312"/>
          <w:b/>
        </w:rPr>
      </w:pPr>
    </w:p>
    <w:p>
      <w:pPr>
        <w:spacing w:line="360" w:lineRule="auto"/>
        <w:jc w:val="center"/>
        <w:rPr>
          <w:rFonts w:ascii="宋体" w:hAnsi="宋体" w:cs="仿宋_GB2312"/>
          <w:b/>
        </w:rPr>
      </w:pPr>
      <w:r>
        <w:rPr>
          <w:rFonts w:hint="eastAsia" w:ascii="宋体" w:hAnsi="宋体" w:cs="仿宋_GB2312"/>
          <w:b/>
        </w:rPr>
        <w:t>说明：此申请表应先于其他申报资料提交，务请在活动部署后10日内报送评价机构。</w:t>
      </w:r>
    </w:p>
    <w:p>
      <w:pPr>
        <w:spacing w:line="460" w:lineRule="exact"/>
        <w:rPr>
          <w:rFonts w:cs="仿宋" w:asciiTheme="majorEastAsia" w:hAnsiTheme="majorEastAsia" w:eastAsiaTheme="majorEastAsia"/>
          <w:b/>
          <w:sz w:val="36"/>
          <w:szCs w:val="36"/>
        </w:rPr>
      </w:pPr>
      <w:r>
        <w:rPr>
          <w:rFonts w:hint="eastAsia" w:cs="仿宋" w:asciiTheme="majorEastAsia" w:hAnsiTheme="majorEastAsia" w:eastAsiaTheme="majorEastAsia"/>
          <w:sz w:val="32"/>
          <w:szCs w:val="32"/>
        </w:rPr>
        <w:t>附件3-</w:t>
      </w:r>
      <w:r>
        <w:rPr>
          <w:rFonts w:hint="eastAsia" w:cs="仿宋" w:asciiTheme="majorEastAsia" w:hAnsiTheme="majorEastAsia" w:eastAsiaTheme="majorEastAsia"/>
          <w:sz w:val="32"/>
          <w:szCs w:val="32"/>
          <w:lang w:val="en-US" w:eastAsia="zh-CN"/>
        </w:rPr>
        <w:t>2</w:t>
      </w:r>
      <w:r>
        <w:rPr>
          <w:rFonts w:hint="eastAsia" w:cs="仿宋" w:asciiTheme="majorEastAsia" w:hAnsiTheme="majorEastAsia" w:eastAsiaTheme="majorEastAsia"/>
          <w:b/>
          <w:sz w:val="36"/>
          <w:szCs w:val="36"/>
        </w:rPr>
        <w:t xml:space="preserve">   </w:t>
      </w:r>
    </w:p>
    <w:p>
      <w:pPr>
        <w:spacing w:line="460" w:lineRule="exact"/>
        <w:jc w:val="center"/>
        <w:rPr>
          <w:rFonts w:hint="eastAsia" w:eastAsiaTheme="majorEastAsia"/>
          <w:sz w:val="36"/>
          <w:szCs w:val="36"/>
          <w:lang w:eastAsia="zh-CN"/>
        </w:rPr>
      </w:pPr>
      <w:r>
        <w:rPr>
          <w:rFonts w:hint="eastAsia" w:cs="仿宋" w:asciiTheme="majorEastAsia" w:hAnsiTheme="majorEastAsia" w:eastAsiaTheme="majorEastAsia"/>
          <w:b/>
          <w:sz w:val="36"/>
          <w:szCs w:val="36"/>
        </w:rPr>
        <w:t>评价期党的建设与企业文化</w:t>
      </w:r>
      <w:r>
        <w:rPr>
          <w:rFonts w:hint="eastAsia" w:cs="仿宋" w:asciiTheme="majorEastAsia" w:hAnsiTheme="majorEastAsia" w:eastAsiaTheme="majorEastAsia"/>
          <w:b/>
          <w:sz w:val="36"/>
          <w:szCs w:val="36"/>
          <w:lang w:eastAsia="zh-CN"/>
        </w:rPr>
        <w:t>状况表</w:t>
      </w:r>
    </w:p>
    <w:tbl>
      <w:tblPr>
        <w:tblStyle w:val="4"/>
        <w:tblpPr w:leftFromText="180" w:rightFromText="180" w:vertAnchor="page" w:horzAnchor="margin" w:tblpY="2461"/>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34"/>
        <w:gridCol w:w="2147"/>
        <w:gridCol w:w="830"/>
        <w:gridCol w:w="814"/>
        <w:gridCol w:w="462"/>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647" w:type="dxa"/>
            <w:gridSpan w:val="7"/>
            <w:vAlign w:val="center"/>
          </w:tcPr>
          <w:p>
            <w:pPr>
              <w:jc w:val="center"/>
              <w:rPr>
                <w:sz w:val="28"/>
                <w:szCs w:val="28"/>
              </w:rPr>
            </w:pPr>
            <w:r>
              <w:rPr>
                <w:rFonts w:hint="eastAsia" w:asciiTheme="minorEastAsia" w:hAnsiTheme="minorEastAsia" w:cstheme="minorEastAsia"/>
                <w:b/>
                <w:bCs/>
                <w:sz w:val="28"/>
                <w:szCs w:val="28"/>
              </w:rPr>
              <w:t xml:space="preserve">   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09" w:type="dxa"/>
            <w:vAlign w:val="center"/>
          </w:tcPr>
          <w:p>
            <w:pPr>
              <w:jc w:val="center"/>
            </w:pPr>
            <w:r>
              <w:rPr>
                <w:rFonts w:hint="eastAsia"/>
              </w:rPr>
              <w:t>党组织名称</w:t>
            </w:r>
          </w:p>
        </w:tc>
        <w:tc>
          <w:tcPr>
            <w:tcW w:w="3281" w:type="dxa"/>
            <w:gridSpan w:val="2"/>
            <w:vAlign w:val="center"/>
          </w:tcPr>
          <w:p>
            <w:pPr>
              <w:jc w:val="center"/>
            </w:pPr>
          </w:p>
        </w:tc>
        <w:tc>
          <w:tcPr>
            <w:tcW w:w="1644" w:type="dxa"/>
            <w:gridSpan w:val="2"/>
            <w:vAlign w:val="center"/>
          </w:tcPr>
          <w:p>
            <w:pPr>
              <w:jc w:val="center"/>
            </w:pPr>
            <w:r>
              <w:rPr>
                <w:rFonts w:hint="eastAsia"/>
              </w:rPr>
              <w:t>党员人数</w:t>
            </w:r>
          </w:p>
        </w:tc>
        <w:tc>
          <w:tcPr>
            <w:tcW w:w="191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809" w:type="dxa"/>
            <w:vAlign w:val="center"/>
          </w:tcPr>
          <w:p>
            <w:pPr>
              <w:jc w:val="center"/>
            </w:pPr>
            <w:r>
              <w:rPr>
                <w:rFonts w:hint="eastAsia"/>
              </w:rPr>
              <w:t>批准机关</w:t>
            </w:r>
          </w:p>
        </w:tc>
        <w:tc>
          <w:tcPr>
            <w:tcW w:w="3281" w:type="dxa"/>
            <w:gridSpan w:val="2"/>
            <w:vAlign w:val="center"/>
          </w:tcPr>
          <w:p>
            <w:pPr>
              <w:jc w:val="center"/>
            </w:pPr>
          </w:p>
        </w:tc>
        <w:tc>
          <w:tcPr>
            <w:tcW w:w="1644" w:type="dxa"/>
            <w:gridSpan w:val="2"/>
            <w:vAlign w:val="center"/>
          </w:tcPr>
          <w:p>
            <w:pPr>
              <w:jc w:val="center"/>
            </w:pPr>
            <w:r>
              <w:rPr>
                <w:rFonts w:hint="eastAsia"/>
              </w:rPr>
              <w:t>建立时间</w:t>
            </w:r>
          </w:p>
        </w:tc>
        <w:tc>
          <w:tcPr>
            <w:tcW w:w="191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pPr>
            <w:r>
              <w:rPr>
                <w:rFonts w:hint="eastAsia"/>
              </w:rPr>
              <w:t>党组织办公场所及文化氛围状况</w:t>
            </w:r>
          </w:p>
        </w:tc>
        <w:tc>
          <w:tcPr>
            <w:tcW w:w="3281" w:type="dxa"/>
            <w:gridSpan w:val="2"/>
            <w:vAlign w:val="center"/>
          </w:tcPr>
          <w:p>
            <w:pPr>
              <w:jc w:val="center"/>
            </w:pPr>
          </w:p>
        </w:tc>
        <w:tc>
          <w:tcPr>
            <w:tcW w:w="1644" w:type="dxa"/>
            <w:gridSpan w:val="2"/>
            <w:vAlign w:val="center"/>
          </w:tcPr>
          <w:p>
            <w:pPr>
              <w:jc w:val="center"/>
            </w:pPr>
            <w:r>
              <w:rPr>
                <w:rFonts w:hint="eastAsia"/>
              </w:rPr>
              <w:t>党员模范带头</w:t>
            </w:r>
          </w:p>
          <w:p>
            <w:pPr>
              <w:jc w:val="center"/>
            </w:pPr>
            <w:r>
              <w:rPr>
                <w:rFonts w:hint="eastAsia"/>
              </w:rPr>
              <w:t>作用状况</w:t>
            </w:r>
          </w:p>
        </w:tc>
        <w:tc>
          <w:tcPr>
            <w:tcW w:w="191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809" w:type="dxa"/>
            <w:vAlign w:val="center"/>
          </w:tcPr>
          <w:p>
            <w:pPr>
              <w:jc w:val="center"/>
            </w:pPr>
            <w:r>
              <w:rPr>
                <w:rFonts w:hint="eastAsia"/>
              </w:rPr>
              <w:t>“三会一课”制度落实与执行党的规矩、纪律状况</w:t>
            </w:r>
          </w:p>
        </w:tc>
        <w:tc>
          <w:tcPr>
            <w:tcW w:w="3281" w:type="dxa"/>
            <w:gridSpan w:val="2"/>
            <w:vAlign w:val="center"/>
          </w:tcPr>
          <w:p>
            <w:pPr>
              <w:jc w:val="center"/>
            </w:pPr>
          </w:p>
        </w:tc>
        <w:tc>
          <w:tcPr>
            <w:tcW w:w="1644" w:type="dxa"/>
            <w:gridSpan w:val="2"/>
            <w:vAlign w:val="center"/>
          </w:tcPr>
          <w:p>
            <w:pPr>
              <w:jc w:val="center"/>
            </w:pPr>
            <w:r>
              <w:rPr>
                <w:rFonts w:hint="eastAsia"/>
              </w:rPr>
              <w:t>以党的基本宗旨和社会主义核心价值观，统领提升企业品牌价值的状况</w:t>
            </w:r>
          </w:p>
        </w:tc>
        <w:tc>
          <w:tcPr>
            <w:tcW w:w="191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809" w:type="dxa"/>
            <w:vAlign w:val="center"/>
          </w:tcPr>
          <w:p>
            <w:pPr>
              <w:jc w:val="center"/>
            </w:pPr>
            <w:r>
              <w:rPr>
                <w:rFonts w:hint="eastAsia"/>
              </w:rPr>
              <w:t>获上级党组织授予荣誉称号状况</w:t>
            </w:r>
          </w:p>
        </w:tc>
        <w:tc>
          <w:tcPr>
            <w:tcW w:w="6838"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647" w:type="dxa"/>
            <w:gridSpan w:val="7"/>
            <w:vAlign w:val="center"/>
          </w:tcPr>
          <w:p>
            <w:pPr>
              <w:jc w:val="center"/>
              <w:rPr>
                <w:sz w:val="28"/>
                <w:szCs w:val="28"/>
              </w:rPr>
            </w:pPr>
            <w:r>
              <w:rPr>
                <w:rFonts w:hint="eastAsia" w:asciiTheme="minorEastAsia" w:hAnsiTheme="minorEastAsia" w:cstheme="minorEastAsia"/>
                <w:b/>
                <w:bCs/>
                <w:sz w:val="28"/>
                <w:szCs w:val="28"/>
              </w:rPr>
              <w:t>企业文化氛围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809" w:type="dxa"/>
            <w:vAlign w:val="center"/>
          </w:tcPr>
          <w:p>
            <w:pPr>
              <w:jc w:val="center"/>
            </w:pPr>
            <w:r>
              <w:rPr>
                <w:rFonts w:hint="eastAsia"/>
              </w:rPr>
              <w:t>企业文化的表现形式与主要内容、员工认同与践行情况</w:t>
            </w:r>
          </w:p>
        </w:tc>
        <w:tc>
          <w:tcPr>
            <w:tcW w:w="6838"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647" w:type="dxa"/>
            <w:gridSpan w:val="7"/>
            <w:vAlign w:val="center"/>
          </w:tcPr>
          <w:p>
            <w:pPr>
              <w:jc w:val="center"/>
              <w:rPr>
                <w:sz w:val="28"/>
                <w:szCs w:val="28"/>
              </w:rPr>
            </w:pPr>
            <w:r>
              <w:rPr>
                <w:rFonts w:hint="eastAsia" w:asciiTheme="minorEastAsia" w:hAnsiTheme="minorEastAsia" w:cstheme="minorEastAsia"/>
                <w:b/>
                <w:bCs/>
                <w:sz w:val="28"/>
                <w:szCs w:val="28"/>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43" w:type="dxa"/>
            <w:gridSpan w:val="2"/>
            <w:vAlign w:val="center"/>
          </w:tcPr>
          <w:p>
            <w:pPr>
              <w:jc w:val="center"/>
            </w:pPr>
            <w:r>
              <w:rPr>
                <w:rFonts w:hint="eastAsia"/>
              </w:rPr>
              <w:t>表彰单位</w:t>
            </w:r>
          </w:p>
        </w:tc>
        <w:tc>
          <w:tcPr>
            <w:tcW w:w="2977" w:type="dxa"/>
            <w:gridSpan w:val="2"/>
            <w:vAlign w:val="center"/>
          </w:tcPr>
          <w:p>
            <w:pPr>
              <w:jc w:val="center"/>
            </w:pPr>
            <w:r>
              <w:rPr>
                <w:rFonts w:hint="eastAsia"/>
              </w:rPr>
              <w:t>荣誉称号</w:t>
            </w:r>
          </w:p>
        </w:tc>
        <w:tc>
          <w:tcPr>
            <w:tcW w:w="1276" w:type="dxa"/>
            <w:gridSpan w:val="2"/>
            <w:vAlign w:val="center"/>
          </w:tcPr>
          <w:p>
            <w:pPr>
              <w:jc w:val="center"/>
            </w:pPr>
            <w:r>
              <w:rPr>
                <w:rFonts w:hint="eastAsia"/>
              </w:rPr>
              <w:t>证书号码</w:t>
            </w:r>
          </w:p>
        </w:tc>
        <w:tc>
          <w:tcPr>
            <w:tcW w:w="1451" w:type="dxa"/>
            <w:vAlign w:val="center"/>
          </w:tcPr>
          <w:p>
            <w:pPr>
              <w:jc w:val="center"/>
            </w:pPr>
            <w:r>
              <w:rPr>
                <w:rFonts w:hint="eastAsia"/>
              </w:rPr>
              <w:t>受表彰时间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647" w:type="dxa"/>
            <w:gridSpan w:val="7"/>
            <w:vAlign w:val="center"/>
          </w:tcPr>
          <w:p>
            <w:pPr>
              <w:jc w:val="center"/>
              <w:rPr>
                <w:sz w:val="28"/>
                <w:szCs w:val="28"/>
              </w:rPr>
            </w:pPr>
            <w:r>
              <w:rPr>
                <w:rFonts w:hint="eastAsia" w:asciiTheme="minorEastAsia" w:hAnsiTheme="minorEastAsia" w:cstheme="minorEastAsia"/>
                <w:b/>
                <w:bCs/>
                <w:sz w:val="28"/>
                <w:szCs w:val="28"/>
              </w:rPr>
              <w:t>参与执法检查或自律检查情况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943" w:type="dxa"/>
            <w:gridSpan w:val="2"/>
            <w:vAlign w:val="center"/>
          </w:tcPr>
          <w:p>
            <w:pPr>
              <w:jc w:val="center"/>
            </w:pPr>
            <w:r>
              <w:rPr>
                <w:rFonts w:hint="eastAsia"/>
              </w:rPr>
              <w:t>组织单位</w:t>
            </w:r>
          </w:p>
        </w:tc>
        <w:tc>
          <w:tcPr>
            <w:tcW w:w="2977" w:type="dxa"/>
            <w:gridSpan w:val="2"/>
            <w:vAlign w:val="center"/>
          </w:tcPr>
          <w:p>
            <w:pPr>
              <w:jc w:val="center"/>
            </w:pPr>
            <w:r>
              <w:rPr>
                <w:rFonts w:hint="eastAsia"/>
              </w:rPr>
              <w:t>检查活动名称</w:t>
            </w:r>
          </w:p>
        </w:tc>
        <w:tc>
          <w:tcPr>
            <w:tcW w:w="1276" w:type="dxa"/>
            <w:gridSpan w:val="2"/>
            <w:vAlign w:val="center"/>
          </w:tcPr>
          <w:p>
            <w:pPr>
              <w:jc w:val="center"/>
            </w:pPr>
            <w:r>
              <w:rPr>
                <w:rFonts w:hint="eastAsia"/>
              </w:rPr>
              <w:t>参加人姓名</w:t>
            </w:r>
          </w:p>
        </w:tc>
        <w:tc>
          <w:tcPr>
            <w:tcW w:w="1451" w:type="dxa"/>
            <w:vAlign w:val="center"/>
          </w:tcPr>
          <w:p>
            <w:pPr>
              <w:jc w:val="center"/>
            </w:pPr>
            <w:r>
              <w:rPr>
                <w:rFonts w:hint="eastAsia"/>
              </w:rPr>
              <w:t>参与天数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943" w:type="dxa"/>
            <w:gridSpan w:val="2"/>
            <w:vAlign w:val="center"/>
          </w:tcPr>
          <w:p>
            <w:pPr>
              <w:jc w:val="center"/>
            </w:pPr>
          </w:p>
        </w:tc>
        <w:tc>
          <w:tcPr>
            <w:tcW w:w="2977" w:type="dxa"/>
            <w:gridSpan w:val="2"/>
            <w:vAlign w:val="center"/>
          </w:tcPr>
          <w:p>
            <w:pPr>
              <w:jc w:val="center"/>
            </w:pPr>
          </w:p>
        </w:tc>
        <w:tc>
          <w:tcPr>
            <w:tcW w:w="1276" w:type="dxa"/>
            <w:gridSpan w:val="2"/>
            <w:vAlign w:val="center"/>
          </w:tcPr>
          <w:p>
            <w:pPr>
              <w:jc w:val="center"/>
            </w:pPr>
          </w:p>
        </w:tc>
        <w:tc>
          <w:tcPr>
            <w:tcW w:w="14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47" w:type="dxa"/>
            <w:gridSpan w:val="7"/>
            <w:tcBorders>
              <w:left w:val="nil"/>
              <w:bottom w:val="nil"/>
              <w:right w:val="nil"/>
            </w:tcBorders>
            <w:vAlign w:val="center"/>
          </w:tcPr>
          <w:p>
            <w:pPr>
              <w:rPr>
                <w:rFonts w:ascii="仿宋" w:hAnsi="仿宋" w:eastAsia="仿宋" w:cs="仿宋"/>
                <w:b/>
                <w:szCs w:val="21"/>
              </w:rPr>
            </w:pPr>
          </w:p>
          <w:p>
            <w:pPr>
              <w:rPr>
                <w:rFonts w:cs="仿宋" w:asciiTheme="minorEastAsia" w:hAnsiTheme="minorEastAsia"/>
                <w:b/>
                <w:szCs w:val="21"/>
              </w:rPr>
            </w:pPr>
            <w:r>
              <w:rPr>
                <w:rFonts w:hint="eastAsia" w:cs="仿宋" w:asciiTheme="minorEastAsia" w:hAnsiTheme="minorEastAsia"/>
                <w:b/>
                <w:szCs w:val="21"/>
              </w:rPr>
              <w:t>说明：1.荣誉称号须提供表彰证书复印件；</w:t>
            </w:r>
          </w:p>
          <w:p>
            <w:pPr>
              <w:ind w:firstLine="632" w:firstLineChars="300"/>
              <w:rPr>
                <w:rFonts w:ascii="仿宋" w:hAnsi="仿宋" w:eastAsia="仿宋" w:cs="仿宋"/>
                <w:b/>
                <w:sz w:val="24"/>
              </w:rPr>
            </w:pPr>
            <w:r>
              <w:rPr>
                <w:rFonts w:hint="eastAsia" w:cs="仿宋" w:asciiTheme="minorEastAsia" w:hAnsiTheme="minorEastAsia"/>
                <w:b/>
                <w:szCs w:val="21"/>
              </w:rPr>
              <w:t>2.参与执法检查情况，须提供组织单位的证明资料。</w:t>
            </w:r>
          </w:p>
        </w:tc>
      </w:tr>
    </w:tbl>
    <w:p/>
    <w:p>
      <w:pPr>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附件3-</w:t>
      </w:r>
      <w:r>
        <w:rPr>
          <w:rFonts w:hint="eastAsia" w:asciiTheme="majorEastAsia" w:hAnsiTheme="majorEastAsia" w:eastAsiaTheme="majorEastAsia"/>
          <w:sz w:val="32"/>
          <w:szCs w:val="32"/>
          <w:lang w:val="en-US" w:eastAsia="zh-CN"/>
        </w:rPr>
        <w:t>3</w:t>
      </w:r>
    </w:p>
    <w:p>
      <w:pPr>
        <w:jc w:val="center"/>
        <w:rPr>
          <w:rFonts w:hint="eastAsia" w:asciiTheme="majorEastAsia" w:hAnsiTheme="majorEastAsia" w:eastAsiaTheme="minorEastAsia"/>
          <w:sz w:val="32"/>
          <w:szCs w:val="32"/>
          <w:lang w:eastAsia="zh-CN"/>
        </w:rPr>
      </w:pPr>
      <w:r>
        <w:rPr>
          <w:rFonts w:hint="eastAsia" w:asciiTheme="minorEastAsia" w:hAnsiTheme="minorEastAsia" w:cstheme="minorEastAsia"/>
          <w:b/>
          <w:bCs/>
          <w:sz w:val="36"/>
          <w:szCs w:val="36"/>
        </w:rPr>
        <w:t>评价期企业人才状况</w:t>
      </w:r>
      <w:r>
        <w:rPr>
          <w:rFonts w:hint="eastAsia" w:asciiTheme="minorEastAsia" w:hAnsiTheme="minorEastAsia" w:cstheme="minorEastAsia"/>
          <w:b/>
          <w:bCs/>
          <w:sz w:val="36"/>
          <w:szCs w:val="36"/>
          <w:lang w:eastAsia="zh-CN"/>
        </w:rPr>
        <w:t>表</w:t>
      </w:r>
    </w:p>
    <w:tbl>
      <w:tblPr>
        <w:tblStyle w:val="4"/>
        <w:tblpPr w:leftFromText="180" w:rightFromText="180" w:vertAnchor="text" w:horzAnchor="page" w:tblpX="1437" w:tblpY="236"/>
        <w:tblOverlap w:val="never"/>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599"/>
        <w:gridCol w:w="961"/>
        <w:gridCol w:w="1556"/>
        <w:gridCol w:w="1134"/>
        <w:gridCol w:w="1017"/>
        <w:gridCol w:w="117"/>
        <w:gridCol w:w="898"/>
        <w:gridCol w:w="550"/>
        <w:gridCol w:w="44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18" w:type="dxa"/>
            <w:gridSpan w:val="5"/>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企业员工总数（人）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szCs w:val="21"/>
              </w:rPr>
              <w:t>第一年度</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szCs w:val="21"/>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5318" w:type="dxa"/>
            <w:gridSpan w:val="5"/>
            <w:vMerge w:val="continue"/>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017"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Theme="minorEastAsia"/>
                <w:color w:val="000000" w:themeColor="text1"/>
                <w:lang w:eastAsia="zh-CN"/>
              </w:rPr>
            </w:pPr>
            <w:r>
              <w:rPr>
                <w:rFonts w:hint="eastAsia" w:ascii="宋体" w:hAnsi="宋体"/>
                <w:color w:val="000000" w:themeColor="text1"/>
                <w:lang w:eastAsia="zh-CN"/>
              </w:rPr>
              <w:t>人数</w:t>
            </w:r>
          </w:p>
        </w:tc>
        <w:tc>
          <w:tcPr>
            <w:tcW w:w="1015" w:type="dxa"/>
            <w:gridSpan w:val="2"/>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Theme="minorEastAsia"/>
                <w:color w:val="000000" w:themeColor="text1"/>
                <w:lang w:eastAsia="zh-CN"/>
              </w:rPr>
            </w:pPr>
            <w:r>
              <w:rPr>
                <w:rFonts w:hint="eastAsia" w:ascii="宋体" w:hAnsi="宋体"/>
                <w:color w:val="000000" w:themeColor="text1"/>
                <w:lang w:eastAsia="zh-CN"/>
              </w:rPr>
              <w:t>稳岗率</w:t>
            </w:r>
          </w:p>
        </w:tc>
        <w:tc>
          <w:tcPr>
            <w:tcW w:w="995" w:type="dxa"/>
            <w:gridSpan w:val="2"/>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Theme="minorEastAsia"/>
                <w:color w:val="000000" w:themeColor="text1"/>
                <w:lang w:eastAsia="zh-CN"/>
              </w:rPr>
            </w:pPr>
            <w:r>
              <w:rPr>
                <w:rFonts w:hint="eastAsia" w:ascii="宋体" w:hAnsi="宋体"/>
                <w:color w:val="000000" w:themeColor="text1"/>
                <w:lang w:eastAsia="zh-CN"/>
              </w:rPr>
              <w:t>人数</w:t>
            </w:r>
          </w:p>
        </w:tc>
        <w:tc>
          <w:tcPr>
            <w:tcW w:w="985" w:type="dxa"/>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eastAsiaTheme="minorEastAsia"/>
                <w:color w:val="000000" w:themeColor="text1"/>
                <w:lang w:eastAsia="zh-CN"/>
              </w:rPr>
            </w:pPr>
            <w:r>
              <w:rPr>
                <w:rFonts w:hint="eastAsia" w:ascii="宋体" w:hAnsi="宋体"/>
                <w:color w:val="000000" w:themeColor="text1"/>
                <w:lang w:eastAsia="zh-CN"/>
              </w:rPr>
              <w:t>稳岗率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仿宋_GB2312"/>
              </w:rPr>
            </w:pPr>
            <w:r>
              <w:rPr>
                <w:rFonts w:hint="eastAsia" w:ascii="宋体" w:hAnsi="宋体" w:cs="仿宋_GB2312"/>
              </w:rPr>
              <w:t>工程造价</w:t>
            </w:r>
          </w:p>
          <w:p>
            <w:pPr>
              <w:widowControl/>
              <w:jc w:val="center"/>
              <w:rPr>
                <w:rFonts w:ascii="宋体" w:hAnsi="宋体" w:cs="仿宋_GB2312"/>
              </w:rPr>
            </w:pPr>
            <w:r>
              <w:rPr>
                <w:rFonts w:hint="eastAsia" w:ascii="宋体" w:hAnsi="宋体" w:cs="仿宋_GB2312"/>
                <w:lang w:eastAsia="zh-CN"/>
              </w:rPr>
              <w:t>专业</w:t>
            </w:r>
            <w:r>
              <w:rPr>
                <w:rFonts w:hint="eastAsia" w:ascii="宋体" w:hAnsi="宋体" w:cs="仿宋_GB2312"/>
              </w:rPr>
              <w:t>人员</w:t>
            </w: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一级注册造价工程师（人）</w:t>
            </w:r>
          </w:p>
        </w:tc>
        <w:tc>
          <w:tcPr>
            <w:tcW w:w="1017" w:type="dxa"/>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p>
        </w:tc>
        <w:tc>
          <w:tcPr>
            <w:tcW w:w="1015" w:type="dxa"/>
            <w:gridSpan w:val="2"/>
            <w:tcBorders>
              <w:top w:val="single" w:color="auto" w:sz="4" w:space="0"/>
              <w:left w:val="single" w:color="auto" w:sz="4" w:space="0"/>
              <w:right w:val="single" w:color="auto" w:sz="4" w:space="0"/>
            </w:tcBorders>
            <w:vAlign w:val="center"/>
          </w:tcPr>
          <w:p>
            <w:pPr>
              <w:spacing w:line="240" w:lineRule="exact"/>
              <w:jc w:val="center"/>
              <w:rPr>
                <w:rFonts w:ascii="宋体" w:hAnsi="宋体"/>
                <w:szCs w:val="21"/>
              </w:rPr>
            </w:pPr>
          </w:p>
        </w:tc>
        <w:tc>
          <w:tcPr>
            <w:tcW w:w="995" w:type="dxa"/>
            <w:gridSpan w:val="2"/>
            <w:tcBorders>
              <w:top w:val="single" w:color="auto" w:sz="4" w:space="0"/>
              <w:left w:val="single" w:color="auto" w:sz="4" w:space="0"/>
              <w:right w:val="single" w:color="auto" w:sz="4" w:space="0"/>
            </w:tcBorders>
            <w:vAlign w:val="center"/>
          </w:tcPr>
          <w:p>
            <w:pPr>
              <w:spacing w:line="240" w:lineRule="exact"/>
              <w:jc w:val="center"/>
              <w:rPr>
                <w:rFonts w:ascii="宋体" w:hAnsi="宋体"/>
              </w:rPr>
            </w:pPr>
          </w:p>
        </w:tc>
        <w:tc>
          <w:tcPr>
            <w:tcW w:w="985" w:type="dxa"/>
            <w:tcBorders>
              <w:top w:val="single" w:color="auto" w:sz="4" w:space="0"/>
              <w:left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continue"/>
            <w:tcBorders>
              <w:top w:val="single" w:color="auto" w:sz="4" w:space="0"/>
              <w:left w:val="single" w:color="auto" w:sz="4" w:space="0"/>
              <w:right w:val="single" w:color="auto" w:sz="4" w:space="0"/>
            </w:tcBorders>
            <w:vAlign w:val="center"/>
          </w:tcPr>
          <w:p>
            <w:pPr>
              <w:widowControl/>
              <w:jc w:val="center"/>
              <w:rPr>
                <w:rFonts w:ascii="宋体" w:hAnsi="宋体" w:cs="仿宋_GB2312"/>
              </w:rPr>
            </w:pP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二级注册造价工程师（人）</w:t>
            </w:r>
          </w:p>
        </w:tc>
        <w:tc>
          <w:tcPr>
            <w:tcW w:w="1017" w:type="dxa"/>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015" w:type="dxa"/>
            <w:gridSpan w:val="2"/>
            <w:tcBorders>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995" w:type="dxa"/>
            <w:gridSpan w:val="2"/>
            <w:tcBorders>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985" w:type="dxa"/>
            <w:tcBorders>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仿宋_GB2312"/>
              </w:rPr>
            </w:pP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造价员（人）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5318" w:type="dxa"/>
            <w:gridSpan w:val="5"/>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高端人才数（人）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5318" w:type="dxa"/>
            <w:gridSpan w:val="5"/>
            <w:tcBorders>
              <w:top w:val="single" w:color="auto" w:sz="4" w:space="0"/>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复合型人才数（人）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仿宋_GB2312"/>
              </w:rPr>
            </w:pPr>
            <w:r>
              <w:rPr>
                <w:rFonts w:hint="eastAsia" w:ascii="宋体" w:hAnsi="宋体" w:cs="仿宋_GB2312"/>
              </w:rPr>
              <w:t>相关注册</w:t>
            </w:r>
          </w:p>
          <w:p>
            <w:pPr>
              <w:widowControl/>
              <w:jc w:val="center"/>
              <w:rPr>
                <w:rFonts w:ascii="宋体" w:hAnsi="宋体" w:cs="仿宋_GB2312"/>
              </w:rPr>
            </w:pPr>
            <w:r>
              <w:rPr>
                <w:rFonts w:hint="eastAsia" w:ascii="宋体" w:hAnsi="宋体" w:cs="仿宋_GB2312"/>
                <w:lang w:eastAsia="zh-CN"/>
              </w:rPr>
              <w:t>职</w:t>
            </w:r>
            <w:r>
              <w:rPr>
                <w:rFonts w:hint="eastAsia" w:ascii="宋体" w:hAnsi="宋体" w:cs="仿宋_GB2312"/>
              </w:rPr>
              <w:t>业资格人员</w:t>
            </w:r>
          </w:p>
        </w:tc>
        <w:tc>
          <w:tcPr>
            <w:tcW w:w="3651" w:type="dxa"/>
            <w:gridSpan w:val="3"/>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注册一级建筑师、结构工程师及其他专业设计工程师（人）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continue"/>
            <w:tcBorders>
              <w:left w:val="single" w:color="auto" w:sz="4" w:space="0"/>
              <w:right w:val="single" w:color="auto" w:sz="4" w:space="0"/>
            </w:tcBorders>
            <w:vAlign w:val="center"/>
          </w:tcPr>
          <w:p>
            <w:pPr>
              <w:widowControl/>
              <w:jc w:val="center"/>
              <w:rPr>
                <w:rFonts w:ascii="宋体" w:hAnsi="宋体" w:cs="仿宋_GB2312"/>
              </w:rPr>
            </w:pP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注册一级建造师（人）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continue"/>
            <w:tcBorders>
              <w:left w:val="single" w:color="auto" w:sz="4" w:space="0"/>
              <w:right w:val="single" w:color="auto" w:sz="4" w:space="0"/>
            </w:tcBorders>
            <w:vAlign w:val="center"/>
          </w:tcPr>
          <w:p>
            <w:pPr>
              <w:widowControl/>
              <w:jc w:val="center"/>
              <w:rPr>
                <w:rFonts w:ascii="宋体" w:hAnsi="宋体" w:cs="仿宋_GB2312"/>
              </w:rPr>
            </w:pP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注册国家监理工程师（人）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667" w:type="dxa"/>
            <w:gridSpan w:val="2"/>
            <w:vMerge w:val="continue"/>
            <w:tcBorders>
              <w:left w:val="single" w:color="auto" w:sz="4" w:space="0"/>
              <w:right w:val="single" w:color="auto" w:sz="4" w:space="0"/>
            </w:tcBorders>
            <w:vAlign w:val="center"/>
          </w:tcPr>
          <w:p>
            <w:pPr>
              <w:widowControl/>
              <w:jc w:val="center"/>
              <w:rPr>
                <w:rFonts w:ascii="宋体" w:hAnsi="宋体" w:cs="仿宋_GB2312"/>
              </w:rPr>
            </w:pPr>
          </w:p>
        </w:tc>
        <w:tc>
          <w:tcPr>
            <w:tcW w:w="365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咨询工程师（投资）（人）</w:t>
            </w:r>
          </w:p>
        </w:tc>
        <w:tc>
          <w:tcPr>
            <w:tcW w:w="203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5318" w:type="dxa"/>
            <w:gridSpan w:val="5"/>
            <w:tcBorders>
              <w:left w:val="single" w:color="auto" w:sz="4" w:space="0"/>
              <w:right w:val="single" w:color="auto" w:sz="4" w:space="0"/>
            </w:tcBorders>
            <w:vAlign w:val="center"/>
          </w:tcPr>
          <w:p>
            <w:pPr>
              <w:spacing w:line="360" w:lineRule="auto"/>
              <w:jc w:val="center"/>
              <w:rPr>
                <w:rFonts w:asciiTheme="minorEastAsia" w:hAnsiTheme="minorEastAsia" w:cstheme="minorEastAsia"/>
                <w:b/>
                <w:bCs/>
                <w:sz w:val="24"/>
              </w:rPr>
            </w:pPr>
            <w:r>
              <w:rPr>
                <w:rFonts w:hint="eastAsia"/>
              </w:rPr>
              <w:t>专业人员总数</w:t>
            </w:r>
          </w:p>
        </w:tc>
        <w:tc>
          <w:tcPr>
            <w:tcW w:w="2032" w:type="dxa"/>
            <w:gridSpan w:val="3"/>
            <w:tcBorders>
              <w:left w:val="single" w:color="auto" w:sz="4" w:space="0"/>
              <w:right w:val="single" w:color="auto" w:sz="4" w:space="0"/>
            </w:tcBorders>
            <w:vAlign w:val="center"/>
          </w:tcPr>
          <w:p>
            <w:pPr>
              <w:spacing w:line="360" w:lineRule="auto"/>
              <w:jc w:val="center"/>
              <w:rPr>
                <w:rFonts w:asciiTheme="minorEastAsia" w:hAnsiTheme="minorEastAsia" w:cstheme="minorEastAsia"/>
                <w:b/>
                <w:bCs/>
                <w:sz w:val="24"/>
              </w:rPr>
            </w:pPr>
          </w:p>
        </w:tc>
        <w:tc>
          <w:tcPr>
            <w:tcW w:w="1980" w:type="dxa"/>
            <w:gridSpan w:val="3"/>
            <w:tcBorders>
              <w:left w:val="single" w:color="auto" w:sz="4" w:space="0"/>
              <w:right w:val="single" w:color="auto" w:sz="4" w:space="0"/>
            </w:tcBorders>
            <w:vAlign w:val="center"/>
          </w:tcPr>
          <w:p>
            <w:pPr>
              <w:spacing w:line="360" w:lineRule="auto"/>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5318" w:type="dxa"/>
            <w:gridSpan w:val="5"/>
            <w:tcBorders>
              <w:left w:val="single" w:color="auto" w:sz="4" w:space="0"/>
              <w:right w:val="single" w:color="auto" w:sz="4" w:space="0"/>
            </w:tcBorders>
            <w:vAlign w:val="center"/>
          </w:tcPr>
          <w:p>
            <w:pPr>
              <w:spacing w:line="360" w:lineRule="auto"/>
              <w:jc w:val="center"/>
            </w:pPr>
            <w:r>
              <w:rPr>
                <w:rFonts w:hint="eastAsia"/>
              </w:rPr>
              <w:t>专业人员入会总数</w:t>
            </w:r>
          </w:p>
        </w:tc>
        <w:tc>
          <w:tcPr>
            <w:tcW w:w="2032" w:type="dxa"/>
            <w:gridSpan w:val="3"/>
            <w:tcBorders>
              <w:left w:val="single" w:color="auto" w:sz="4" w:space="0"/>
              <w:right w:val="single" w:color="auto" w:sz="4" w:space="0"/>
            </w:tcBorders>
            <w:vAlign w:val="center"/>
          </w:tcPr>
          <w:p>
            <w:pPr>
              <w:spacing w:line="360" w:lineRule="auto"/>
              <w:jc w:val="center"/>
              <w:rPr>
                <w:rFonts w:asciiTheme="minorEastAsia" w:hAnsiTheme="minorEastAsia" w:cstheme="minorEastAsia"/>
                <w:b/>
                <w:bCs/>
                <w:sz w:val="24"/>
              </w:rPr>
            </w:pPr>
          </w:p>
        </w:tc>
        <w:tc>
          <w:tcPr>
            <w:tcW w:w="1980" w:type="dxa"/>
            <w:gridSpan w:val="3"/>
            <w:tcBorders>
              <w:left w:val="single" w:color="auto" w:sz="4" w:space="0"/>
              <w:right w:val="single" w:color="auto" w:sz="4" w:space="0"/>
            </w:tcBorders>
            <w:vAlign w:val="center"/>
          </w:tcPr>
          <w:p>
            <w:pPr>
              <w:spacing w:line="360" w:lineRule="auto"/>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30" w:type="dxa"/>
            <w:gridSpan w:val="11"/>
            <w:tcBorders>
              <w:left w:val="single" w:color="auto" w:sz="4" w:space="0"/>
              <w:right w:val="single" w:color="auto" w:sz="4" w:space="0"/>
            </w:tcBorders>
            <w:vAlign w:val="center"/>
          </w:tcPr>
          <w:p>
            <w:pPr>
              <w:spacing w:line="360" w:lineRule="auto"/>
              <w:jc w:val="center"/>
              <w:rPr>
                <w:rFonts w:ascii="宋体" w:hAnsi="宋体"/>
                <w:sz w:val="28"/>
                <w:szCs w:val="28"/>
              </w:rPr>
            </w:pPr>
            <w:r>
              <w:rPr>
                <w:rFonts w:hint="eastAsia" w:asciiTheme="minorEastAsia" w:hAnsiTheme="minorEastAsia" w:cstheme="minorEastAsia"/>
                <w:b/>
                <w:bCs/>
                <w:sz w:val="28"/>
                <w:szCs w:val="28"/>
              </w:rPr>
              <w:t>评价期企业员工缴纳社会保险情况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vMerge w:val="restart"/>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保险分类</w:t>
            </w:r>
          </w:p>
        </w:tc>
        <w:tc>
          <w:tcPr>
            <w:tcW w:w="3116" w:type="dxa"/>
            <w:gridSpan w:val="3"/>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评价期实际缴纳金额（元）</w:t>
            </w:r>
          </w:p>
        </w:tc>
        <w:tc>
          <w:tcPr>
            <w:tcW w:w="2268" w:type="dxa"/>
            <w:gridSpan w:val="3"/>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缴纳人数（人数）</w:t>
            </w:r>
          </w:p>
        </w:tc>
        <w:tc>
          <w:tcPr>
            <w:tcW w:w="2878" w:type="dxa"/>
            <w:gridSpan w:val="4"/>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人均缴纳数额（元）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vMerge w:val="continue"/>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560"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第一年度</w:t>
            </w:r>
          </w:p>
        </w:tc>
        <w:tc>
          <w:tcPr>
            <w:tcW w:w="1556" w:type="dxa"/>
            <w:tcBorders>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第二年度</w:t>
            </w:r>
          </w:p>
        </w:tc>
        <w:tc>
          <w:tcPr>
            <w:tcW w:w="1134" w:type="dxa"/>
            <w:tcBorders>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第一年度</w:t>
            </w:r>
          </w:p>
        </w:tc>
        <w:tc>
          <w:tcPr>
            <w:tcW w:w="1134" w:type="dxa"/>
            <w:gridSpan w:val="2"/>
            <w:tcBorders>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第二年度</w:t>
            </w:r>
          </w:p>
        </w:tc>
        <w:tc>
          <w:tcPr>
            <w:tcW w:w="1448" w:type="dxa"/>
            <w:gridSpan w:val="2"/>
            <w:tcBorders>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第一年度</w:t>
            </w:r>
          </w:p>
        </w:tc>
        <w:tc>
          <w:tcPr>
            <w:tcW w:w="1430" w:type="dxa"/>
            <w:gridSpan w:val="2"/>
            <w:tcBorders>
              <w:left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养老保险</w:t>
            </w:r>
          </w:p>
        </w:tc>
        <w:tc>
          <w:tcPr>
            <w:tcW w:w="1560" w:type="dxa"/>
            <w:gridSpan w:val="2"/>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556"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48"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30"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医疗保险</w:t>
            </w:r>
          </w:p>
        </w:tc>
        <w:tc>
          <w:tcPr>
            <w:tcW w:w="1560"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556"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48"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30"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工伤保险</w:t>
            </w:r>
          </w:p>
        </w:tc>
        <w:tc>
          <w:tcPr>
            <w:tcW w:w="1560"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556"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48"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c>
          <w:tcPr>
            <w:tcW w:w="1430" w:type="dxa"/>
            <w:gridSpan w:val="2"/>
            <w:tcBorders>
              <w:left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失业保险</w:t>
            </w:r>
          </w:p>
        </w:tc>
        <w:tc>
          <w:tcPr>
            <w:tcW w:w="1560"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556"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448"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430"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68"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r>
              <w:rPr>
                <w:rFonts w:hint="eastAsia" w:ascii="宋体" w:hAnsi="宋体"/>
                <w:color w:val="000000" w:themeColor="text1"/>
              </w:rPr>
              <w:t>生育保险</w:t>
            </w:r>
          </w:p>
        </w:tc>
        <w:tc>
          <w:tcPr>
            <w:tcW w:w="1560"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556"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134"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448"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c>
          <w:tcPr>
            <w:tcW w:w="1430"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rPr>
            </w:pPr>
          </w:p>
        </w:tc>
      </w:tr>
    </w:tbl>
    <w:p>
      <w:pPr>
        <w:rPr>
          <w:b/>
          <w:spacing w:val="5"/>
          <w:w w:val="95"/>
          <w:kern w:val="0"/>
          <w:sz w:val="36"/>
          <w:szCs w:val="36"/>
        </w:rPr>
      </w:pPr>
    </w:p>
    <w:p>
      <w:pPr>
        <w:rPr>
          <w:b/>
          <w:spacing w:val="5"/>
          <w:w w:val="95"/>
          <w:kern w:val="0"/>
          <w:sz w:val="36"/>
          <w:szCs w:val="36"/>
        </w:rPr>
      </w:pPr>
    </w:p>
    <w:p>
      <w:pPr>
        <w:jc w:val="center"/>
        <w:rPr>
          <w:b/>
          <w:spacing w:val="5"/>
          <w:w w:val="95"/>
          <w:kern w:val="0"/>
          <w:sz w:val="36"/>
          <w:szCs w:val="36"/>
        </w:rPr>
      </w:pPr>
      <w:r>
        <w:rPr>
          <w:rFonts w:hint="eastAsia" w:asciiTheme="minorEastAsia" w:hAnsiTheme="minorEastAsia" w:cstheme="minorEastAsia"/>
          <w:b/>
          <w:bCs/>
          <w:sz w:val="36"/>
          <w:szCs w:val="36"/>
        </w:rPr>
        <w:t>评价期企业人才状况</w:t>
      </w:r>
      <w:r>
        <w:rPr>
          <w:rFonts w:hint="eastAsia" w:asciiTheme="minorEastAsia" w:hAnsiTheme="minorEastAsia" w:cstheme="minorEastAsia"/>
          <w:b/>
          <w:bCs/>
          <w:sz w:val="36"/>
          <w:szCs w:val="36"/>
          <w:lang w:eastAsia="zh-CN"/>
        </w:rPr>
        <w:t>表</w:t>
      </w:r>
      <w:r>
        <w:rPr>
          <w:rFonts w:hint="eastAsia" w:asciiTheme="minorEastAsia" w:hAnsiTheme="minorEastAsia" w:cstheme="minorEastAsia"/>
          <w:b/>
          <w:bCs/>
          <w:sz w:val="36"/>
          <w:szCs w:val="36"/>
        </w:rPr>
        <w:t>（续</w:t>
      </w:r>
      <w:r>
        <w:rPr>
          <w:rFonts w:hint="eastAsia" w:asciiTheme="minorEastAsia" w:hAnsiTheme="minorEastAsia" w:cstheme="minorEastAsia"/>
          <w:b/>
          <w:bCs/>
          <w:sz w:val="36"/>
          <w:szCs w:val="36"/>
          <w:lang w:eastAsia="zh-CN"/>
        </w:rPr>
        <w:t>一</w:t>
      </w:r>
      <w:r>
        <w:rPr>
          <w:rFonts w:hint="eastAsia" w:asciiTheme="minorEastAsia" w:hAnsiTheme="minorEastAsia" w:cstheme="minorEastAsia"/>
          <w:b/>
          <w:bCs/>
          <w:sz w:val="36"/>
          <w:szCs w:val="36"/>
        </w:rPr>
        <w:t>）</w:t>
      </w:r>
    </w:p>
    <w:p>
      <w:pPr>
        <w:rPr>
          <w:b/>
          <w:spacing w:val="5"/>
          <w:w w:val="95"/>
          <w:kern w:val="0"/>
          <w:sz w:val="36"/>
          <w:szCs w:val="36"/>
        </w:rPr>
      </w:pPr>
    </w:p>
    <w:tbl>
      <w:tblPr>
        <w:tblStyle w:val="5"/>
        <w:tblpPr w:leftFromText="180" w:rightFromText="180" w:vertAnchor="text" w:horzAnchor="page" w:tblpX="1812" w:tblpY="86"/>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5"/>
        <w:gridCol w:w="800"/>
        <w:gridCol w:w="909"/>
        <w:gridCol w:w="1491"/>
        <w:gridCol w:w="492"/>
        <w:gridCol w:w="1174"/>
        <w:gridCol w:w="809"/>
        <w:gridCol w:w="736"/>
        <w:gridCol w:w="14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3" w:hRule="atLeast"/>
        </w:trPr>
        <w:tc>
          <w:tcPr>
            <w:tcW w:w="8522" w:type="dxa"/>
            <w:gridSpan w:val="9"/>
          </w:tcPr>
          <w:p>
            <w:pPr>
              <w:widowControl/>
              <w:spacing w:line="72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造价专业人员继续教育合格率情况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65" w:type="dxa"/>
            <w:gridSpan w:val="4"/>
          </w:tcPr>
          <w:p>
            <w:pPr>
              <w:widowControl/>
              <w:spacing w:line="480" w:lineRule="auto"/>
              <w:jc w:val="center"/>
              <w:rPr>
                <w:rFonts w:ascii="宋体" w:hAnsi="宋体"/>
              </w:rPr>
            </w:pPr>
          </w:p>
        </w:tc>
        <w:tc>
          <w:tcPr>
            <w:tcW w:w="1666" w:type="dxa"/>
            <w:gridSpan w:val="2"/>
          </w:tcPr>
          <w:p>
            <w:pPr>
              <w:widowControl/>
              <w:spacing w:line="480" w:lineRule="auto"/>
              <w:jc w:val="center"/>
              <w:rPr>
                <w:rFonts w:ascii="宋体" w:hAnsi="宋体"/>
              </w:rPr>
            </w:pPr>
            <w:r>
              <w:rPr>
                <w:rFonts w:hint="eastAsia" w:ascii="宋体" w:hAnsi="宋体"/>
              </w:rPr>
              <w:t>第一年度</w:t>
            </w:r>
          </w:p>
        </w:tc>
        <w:tc>
          <w:tcPr>
            <w:tcW w:w="1545" w:type="dxa"/>
            <w:gridSpan w:val="2"/>
          </w:tcPr>
          <w:p>
            <w:pPr>
              <w:widowControl/>
              <w:spacing w:line="480" w:lineRule="auto"/>
              <w:jc w:val="center"/>
              <w:rPr>
                <w:rFonts w:ascii="宋体" w:hAnsi="宋体"/>
              </w:rPr>
            </w:pPr>
            <w:r>
              <w:rPr>
                <w:rFonts w:hint="eastAsia" w:ascii="宋体" w:hAnsi="宋体"/>
              </w:rPr>
              <w:t>第二年度</w:t>
            </w:r>
          </w:p>
        </w:tc>
        <w:tc>
          <w:tcPr>
            <w:tcW w:w="1446" w:type="dxa"/>
          </w:tcPr>
          <w:p>
            <w:pPr>
              <w:widowControl/>
              <w:spacing w:line="480" w:lineRule="auto"/>
              <w:jc w:val="center"/>
              <w:rPr>
                <w:rFonts w:ascii="宋体" w:hAnsi="宋体"/>
              </w:rPr>
            </w:pPr>
            <w:r>
              <w:rPr>
                <w:rFonts w:hint="eastAsia" w:ascii="宋体" w:hAnsi="宋体"/>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65" w:type="dxa"/>
            <w:gridSpan w:val="4"/>
          </w:tcPr>
          <w:p>
            <w:pPr>
              <w:widowControl/>
              <w:spacing w:line="480" w:lineRule="auto"/>
              <w:ind w:firstLine="210" w:firstLineChars="100"/>
              <w:jc w:val="left"/>
              <w:rPr>
                <w:rFonts w:ascii="宋体" w:hAnsi="宋体"/>
              </w:rPr>
            </w:pPr>
            <w:r>
              <w:rPr>
                <w:rFonts w:hint="eastAsia" w:ascii="宋体" w:hAnsi="宋体"/>
              </w:rPr>
              <w:t>一级注册造价工程师</w:t>
            </w:r>
            <w:r>
              <w:rPr>
                <w:rFonts w:hint="eastAsia" w:ascii="宋体" w:hAnsi="宋体"/>
                <w:lang w:eastAsia="zh-CN"/>
              </w:rPr>
              <w:t>应</w:t>
            </w:r>
            <w:r>
              <w:rPr>
                <w:rFonts w:hint="eastAsia" w:ascii="宋体" w:hAnsi="宋体"/>
              </w:rPr>
              <w:t>继续教育人数</w:t>
            </w:r>
          </w:p>
        </w:tc>
        <w:tc>
          <w:tcPr>
            <w:tcW w:w="1666" w:type="dxa"/>
            <w:gridSpan w:val="2"/>
          </w:tcPr>
          <w:p>
            <w:pPr>
              <w:widowControl/>
              <w:spacing w:line="480" w:lineRule="auto"/>
              <w:jc w:val="left"/>
              <w:rPr>
                <w:rFonts w:ascii="宋体" w:hAnsi="宋体"/>
              </w:rPr>
            </w:pPr>
          </w:p>
        </w:tc>
        <w:tc>
          <w:tcPr>
            <w:tcW w:w="1545" w:type="dxa"/>
            <w:gridSpan w:val="2"/>
          </w:tcPr>
          <w:p>
            <w:pPr>
              <w:widowControl/>
              <w:spacing w:line="480" w:lineRule="auto"/>
              <w:jc w:val="left"/>
              <w:rPr>
                <w:rFonts w:ascii="宋体" w:hAnsi="宋体"/>
              </w:rPr>
            </w:pPr>
          </w:p>
        </w:tc>
        <w:tc>
          <w:tcPr>
            <w:tcW w:w="1446" w:type="dxa"/>
          </w:tcPr>
          <w:p>
            <w:pPr>
              <w:widowControl/>
              <w:spacing w:line="480" w:lineRule="auto"/>
              <w:jc w:val="left"/>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65" w:type="dxa"/>
            <w:gridSpan w:val="4"/>
          </w:tcPr>
          <w:p>
            <w:pPr>
              <w:widowControl/>
              <w:spacing w:line="480" w:lineRule="auto"/>
              <w:rPr>
                <w:rFonts w:ascii="宋体" w:hAnsi="宋体"/>
              </w:rPr>
            </w:pPr>
            <w:r>
              <w:rPr>
                <w:rFonts w:hint="eastAsia" w:ascii="宋体" w:hAnsi="宋体"/>
              </w:rPr>
              <w:t>一级注册造价工程师继续教育合格人数</w:t>
            </w:r>
          </w:p>
        </w:tc>
        <w:tc>
          <w:tcPr>
            <w:tcW w:w="1666" w:type="dxa"/>
            <w:gridSpan w:val="2"/>
          </w:tcPr>
          <w:p>
            <w:pPr>
              <w:widowControl/>
              <w:spacing w:line="480" w:lineRule="auto"/>
              <w:jc w:val="left"/>
              <w:rPr>
                <w:rFonts w:ascii="宋体" w:hAnsi="宋体"/>
              </w:rPr>
            </w:pPr>
          </w:p>
        </w:tc>
        <w:tc>
          <w:tcPr>
            <w:tcW w:w="1545" w:type="dxa"/>
            <w:gridSpan w:val="2"/>
          </w:tcPr>
          <w:p>
            <w:pPr>
              <w:widowControl/>
              <w:spacing w:line="480" w:lineRule="auto"/>
              <w:jc w:val="left"/>
              <w:rPr>
                <w:rFonts w:ascii="宋体" w:hAnsi="宋体"/>
              </w:rPr>
            </w:pPr>
          </w:p>
        </w:tc>
        <w:tc>
          <w:tcPr>
            <w:tcW w:w="1446" w:type="dxa"/>
          </w:tcPr>
          <w:p>
            <w:pPr>
              <w:widowControl/>
              <w:spacing w:line="480" w:lineRule="auto"/>
              <w:jc w:val="left"/>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65" w:type="dxa"/>
            <w:gridSpan w:val="4"/>
          </w:tcPr>
          <w:p>
            <w:pPr>
              <w:widowControl/>
              <w:spacing w:line="480" w:lineRule="auto"/>
              <w:ind w:firstLine="210" w:firstLineChars="100"/>
              <w:jc w:val="left"/>
              <w:rPr>
                <w:rFonts w:ascii="宋体" w:hAnsi="宋体"/>
              </w:rPr>
            </w:pPr>
            <w:r>
              <w:rPr>
                <w:rFonts w:hint="eastAsia" w:ascii="宋体" w:hAnsi="宋体"/>
              </w:rPr>
              <w:t>二级注册造价工程师</w:t>
            </w:r>
            <w:r>
              <w:rPr>
                <w:rFonts w:hint="eastAsia" w:ascii="宋体" w:hAnsi="宋体"/>
                <w:lang w:eastAsia="zh-CN"/>
              </w:rPr>
              <w:t>应</w:t>
            </w:r>
            <w:r>
              <w:rPr>
                <w:rFonts w:hint="eastAsia" w:ascii="宋体" w:hAnsi="宋体"/>
              </w:rPr>
              <w:t>继续教育人数</w:t>
            </w:r>
          </w:p>
        </w:tc>
        <w:tc>
          <w:tcPr>
            <w:tcW w:w="1666" w:type="dxa"/>
            <w:gridSpan w:val="2"/>
          </w:tcPr>
          <w:p>
            <w:pPr>
              <w:widowControl/>
              <w:spacing w:line="480" w:lineRule="auto"/>
              <w:jc w:val="left"/>
              <w:rPr>
                <w:rFonts w:ascii="宋体" w:hAnsi="宋体"/>
              </w:rPr>
            </w:pPr>
          </w:p>
        </w:tc>
        <w:tc>
          <w:tcPr>
            <w:tcW w:w="1545" w:type="dxa"/>
            <w:gridSpan w:val="2"/>
          </w:tcPr>
          <w:p>
            <w:pPr>
              <w:widowControl/>
              <w:spacing w:line="480" w:lineRule="auto"/>
              <w:jc w:val="left"/>
              <w:rPr>
                <w:rFonts w:ascii="宋体" w:hAnsi="宋体"/>
              </w:rPr>
            </w:pPr>
          </w:p>
        </w:tc>
        <w:tc>
          <w:tcPr>
            <w:tcW w:w="1446" w:type="dxa"/>
          </w:tcPr>
          <w:p>
            <w:pPr>
              <w:widowControl/>
              <w:spacing w:line="480" w:lineRule="auto"/>
              <w:jc w:val="left"/>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65" w:type="dxa"/>
            <w:gridSpan w:val="4"/>
          </w:tcPr>
          <w:p>
            <w:pPr>
              <w:widowControl/>
              <w:spacing w:line="480" w:lineRule="auto"/>
              <w:rPr>
                <w:rFonts w:ascii="宋体" w:hAnsi="宋体"/>
              </w:rPr>
            </w:pPr>
            <w:r>
              <w:rPr>
                <w:rFonts w:hint="eastAsia" w:ascii="宋体" w:hAnsi="宋体"/>
              </w:rPr>
              <w:t>二级注册造价工程师继续教育合格人数</w:t>
            </w:r>
          </w:p>
        </w:tc>
        <w:tc>
          <w:tcPr>
            <w:tcW w:w="1666" w:type="dxa"/>
            <w:gridSpan w:val="2"/>
          </w:tcPr>
          <w:p>
            <w:pPr>
              <w:widowControl/>
              <w:spacing w:line="480" w:lineRule="auto"/>
              <w:jc w:val="left"/>
              <w:rPr>
                <w:rFonts w:ascii="宋体" w:hAnsi="宋体"/>
              </w:rPr>
            </w:pPr>
          </w:p>
        </w:tc>
        <w:tc>
          <w:tcPr>
            <w:tcW w:w="1545" w:type="dxa"/>
            <w:gridSpan w:val="2"/>
          </w:tcPr>
          <w:p>
            <w:pPr>
              <w:widowControl/>
              <w:spacing w:line="480" w:lineRule="auto"/>
              <w:jc w:val="left"/>
              <w:rPr>
                <w:rFonts w:ascii="宋体" w:hAnsi="宋体"/>
              </w:rPr>
            </w:pPr>
          </w:p>
        </w:tc>
        <w:tc>
          <w:tcPr>
            <w:tcW w:w="1446" w:type="dxa"/>
          </w:tcPr>
          <w:p>
            <w:pPr>
              <w:widowControl/>
              <w:spacing w:line="480" w:lineRule="auto"/>
              <w:jc w:val="left"/>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9"/>
          </w:tcPr>
          <w:p>
            <w:pPr>
              <w:widowControl/>
              <w:spacing w:line="720" w:lineRule="auto"/>
              <w:jc w:val="center"/>
              <w:rPr>
                <w:rFonts w:ascii="仿宋" w:hAnsi="仿宋" w:eastAsia="仿宋"/>
                <w:sz w:val="28"/>
                <w:szCs w:val="28"/>
              </w:rPr>
            </w:pPr>
            <w:r>
              <w:rPr>
                <w:rFonts w:hint="eastAsia" w:asciiTheme="minorEastAsia" w:hAnsiTheme="minorEastAsia" w:cstheme="minorEastAsia"/>
                <w:b/>
                <w:bCs/>
                <w:sz w:val="28"/>
                <w:szCs w:val="28"/>
              </w:rPr>
              <w:t>组织造价专业人员参加技能竞赛及获奖情况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exact"/>
        </w:trPr>
        <w:tc>
          <w:tcPr>
            <w:tcW w:w="2374" w:type="dxa"/>
            <w:gridSpan w:val="3"/>
            <w:vAlign w:val="top"/>
          </w:tcPr>
          <w:p>
            <w:pPr>
              <w:widowControl/>
              <w:spacing w:line="240" w:lineRule="auto"/>
              <w:jc w:val="center"/>
              <w:rPr>
                <w:rFonts w:ascii="仿宋" w:hAnsi="仿宋" w:eastAsia="仿宋"/>
                <w:sz w:val="32"/>
                <w:szCs w:val="32"/>
              </w:rPr>
            </w:pPr>
          </w:p>
        </w:tc>
        <w:tc>
          <w:tcPr>
            <w:tcW w:w="1983" w:type="dxa"/>
            <w:gridSpan w:val="2"/>
            <w:vAlign w:val="top"/>
          </w:tcPr>
          <w:p>
            <w:pPr>
              <w:widowControl/>
              <w:spacing w:line="360" w:lineRule="auto"/>
              <w:jc w:val="center"/>
              <w:rPr>
                <w:rFonts w:ascii="宋体" w:hAnsi="宋体"/>
              </w:rPr>
            </w:pPr>
            <w:r>
              <w:rPr>
                <w:rFonts w:hint="eastAsia" w:ascii="宋体" w:hAnsi="宋体"/>
              </w:rPr>
              <w:t>第一年度</w:t>
            </w:r>
          </w:p>
        </w:tc>
        <w:tc>
          <w:tcPr>
            <w:tcW w:w="1983" w:type="dxa"/>
            <w:gridSpan w:val="2"/>
            <w:vAlign w:val="top"/>
          </w:tcPr>
          <w:p>
            <w:pPr>
              <w:widowControl/>
              <w:spacing w:line="360" w:lineRule="auto"/>
              <w:jc w:val="center"/>
              <w:rPr>
                <w:rFonts w:ascii="宋体" w:hAnsi="宋体"/>
              </w:rPr>
            </w:pPr>
            <w:r>
              <w:rPr>
                <w:rFonts w:hint="eastAsia" w:ascii="宋体" w:hAnsi="宋体"/>
              </w:rPr>
              <w:t>第二年度</w:t>
            </w:r>
          </w:p>
        </w:tc>
        <w:tc>
          <w:tcPr>
            <w:tcW w:w="2182" w:type="dxa"/>
            <w:gridSpan w:val="2"/>
            <w:vAlign w:val="top"/>
          </w:tcPr>
          <w:p>
            <w:pPr>
              <w:widowControl/>
              <w:spacing w:line="360" w:lineRule="auto"/>
              <w:jc w:val="center"/>
              <w:rPr>
                <w:rFonts w:ascii="宋体" w:hAnsi="宋体"/>
              </w:rPr>
            </w:pPr>
            <w:r>
              <w:rPr>
                <w:rFonts w:hint="eastAsia" w:ascii="宋体" w:hAnsi="宋体"/>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exact"/>
        </w:trPr>
        <w:tc>
          <w:tcPr>
            <w:tcW w:w="665" w:type="dxa"/>
            <w:vMerge w:val="restart"/>
            <w:tcBorders>
              <w:right w:val="single" w:color="auto" w:sz="4" w:space="0"/>
            </w:tcBorders>
          </w:tcPr>
          <w:p>
            <w:pPr>
              <w:spacing w:line="240" w:lineRule="auto"/>
              <w:jc w:val="both"/>
              <w:rPr>
                <w:rFonts w:hint="eastAsia" w:ascii="宋体" w:hAnsi="宋体"/>
              </w:rPr>
            </w:pPr>
          </w:p>
          <w:p>
            <w:pPr>
              <w:spacing w:line="240" w:lineRule="auto"/>
              <w:jc w:val="center"/>
              <w:rPr>
                <w:rFonts w:hint="eastAsia" w:ascii="宋体" w:hAnsi="宋体"/>
              </w:rPr>
            </w:pPr>
            <w:r>
              <w:rPr>
                <w:rFonts w:hint="eastAsia" w:ascii="宋体" w:hAnsi="宋体"/>
              </w:rPr>
              <w:t>参赛</w:t>
            </w:r>
          </w:p>
          <w:p>
            <w:pPr>
              <w:spacing w:line="240" w:lineRule="auto"/>
              <w:jc w:val="center"/>
              <w:rPr>
                <w:rFonts w:hint="eastAsia" w:ascii="宋体" w:hAnsi="宋体" w:eastAsiaTheme="minorEastAsia"/>
                <w:lang w:eastAsia="zh-CN"/>
              </w:rPr>
            </w:pPr>
            <w:r>
              <w:rPr>
                <w:rFonts w:hint="eastAsia" w:ascii="宋体" w:hAnsi="宋体"/>
                <w:lang w:eastAsia="zh-CN"/>
              </w:rPr>
              <w:t>情况</w:t>
            </w:r>
          </w:p>
        </w:tc>
        <w:tc>
          <w:tcPr>
            <w:tcW w:w="1709" w:type="dxa"/>
            <w:gridSpan w:val="2"/>
            <w:tcBorders>
              <w:left w:val="single" w:color="auto" w:sz="4" w:space="0"/>
            </w:tcBorders>
            <w:vAlign w:val="top"/>
          </w:tcPr>
          <w:p>
            <w:pPr>
              <w:spacing w:line="240" w:lineRule="auto"/>
              <w:jc w:val="center"/>
              <w:rPr>
                <w:rFonts w:hint="eastAsia" w:ascii="宋体" w:hAnsi="宋体"/>
                <w:lang w:eastAsia="zh-CN"/>
              </w:rPr>
            </w:pPr>
            <w:r>
              <w:rPr>
                <w:rFonts w:hint="eastAsia" w:ascii="宋体" w:hAnsi="宋体"/>
                <w:lang w:eastAsia="zh-CN"/>
              </w:rPr>
              <w:t>企业是否</w:t>
            </w:r>
          </w:p>
          <w:p>
            <w:pPr>
              <w:spacing w:line="240" w:lineRule="auto"/>
              <w:jc w:val="center"/>
              <w:rPr>
                <w:rFonts w:hint="eastAsia" w:ascii="宋体" w:hAnsi="宋体" w:eastAsiaTheme="minorEastAsia"/>
                <w:lang w:eastAsia="zh-CN"/>
              </w:rPr>
            </w:pPr>
            <w:r>
              <w:rPr>
                <w:rFonts w:hint="eastAsia" w:ascii="宋体" w:hAnsi="宋体"/>
                <w:lang w:eastAsia="zh-CN"/>
              </w:rPr>
              <w:t>参加团体赛</w:t>
            </w:r>
          </w:p>
        </w:tc>
        <w:tc>
          <w:tcPr>
            <w:tcW w:w="1983" w:type="dxa"/>
            <w:gridSpan w:val="2"/>
            <w:vAlign w:val="top"/>
          </w:tcPr>
          <w:p>
            <w:pPr>
              <w:spacing w:line="240" w:lineRule="auto"/>
              <w:jc w:val="center"/>
              <w:rPr>
                <w:rFonts w:ascii="宋体" w:hAnsi="宋体"/>
              </w:rPr>
            </w:pPr>
          </w:p>
        </w:tc>
        <w:tc>
          <w:tcPr>
            <w:tcW w:w="1983" w:type="dxa"/>
            <w:gridSpan w:val="2"/>
            <w:vAlign w:val="top"/>
          </w:tcPr>
          <w:p>
            <w:pPr>
              <w:spacing w:line="240" w:lineRule="auto"/>
              <w:jc w:val="center"/>
              <w:rPr>
                <w:rFonts w:ascii="宋体" w:hAnsi="宋体"/>
              </w:rPr>
            </w:pPr>
          </w:p>
        </w:tc>
        <w:tc>
          <w:tcPr>
            <w:tcW w:w="2182" w:type="dxa"/>
            <w:gridSpan w:val="2"/>
            <w:vAlign w:val="top"/>
          </w:tcPr>
          <w:p>
            <w:pPr>
              <w:spacing w:line="240" w:lineRule="auto"/>
              <w:jc w:val="center"/>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exact"/>
        </w:trPr>
        <w:tc>
          <w:tcPr>
            <w:tcW w:w="665" w:type="dxa"/>
            <w:vMerge w:val="continue"/>
            <w:tcBorders>
              <w:right w:val="single" w:color="auto" w:sz="4" w:space="0"/>
            </w:tcBorders>
          </w:tcPr>
          <w:p>
            <w:pPr>
              <w:spacing w:line="240" w:lineRule="auto"/>
              <w:jc w:val="center"/>
              <w:rPr>
                <w:rFonts w:ascii="宋体" w:hAnsi="宋体"/>
              </w:rPr>
            </w:pPr>
          </w:p>
        </w:tc>
        <w:tc>
          <w:tcPr>
            <w:tcW w:w="1709" w:type="dxa"/>
            <w:gridSpan w:val="2"/>
            <w:tcBorders>
              <w:left w:val="single" w:color="auto" w:sz="4" w:space="0"/>
            </w:tcBorders>
            <w:vAlign w:val="top"/>
          </w:tcPr>
          <w:p>
            <w:pPr>
              <w:spacing w:line="480" w:lineRule="auto"/>
              <w:jc w:val="center"/>
              <w:rPr>
                <w:rFonts w:hint="eastAsia" w:ascii="宋体" w:hAnsi="宋体" w:eastAsiaTheme="minorEastAsia"/>
                <w:lang w:eastAsia="zh-CN"/>
              </w:rPr>
            </w:pPr>
            <w:r>
              <w:rPr>
                <w:rFonts w:hint="eastAsia" w:ascii="宋体" w:hAnsi="宋体"/>
                <w:lang w:eastAsia="zh-CN"/>
              </w:rPr>
              <w:t>参加个人赛数量</w:t>
            </w:r>
          </w:p>
        </w:tc>
        <w:tc>
          <w:tcPr>
            <w:tcW w:w="1983" w:type="dxa"/>
            <w:gridSpan w:val="2"/>
            <w:vAlign w:val="top"/>
          </w:tcPr>
          <w:p>
            <w:pPr>
              <w:spacing w:line="240" w:lineRule="auto"/>
              <w:jc w:val="center"/>
              <w:rPr>
                <w:rFonts w:ascii="宋体" w:hAnsi="宋体"/>
              </w:rPr>
            </w:pPr>
          </w:p>
        </w:tc>
        <w:tc>
          <w:tcPr>
            <w:tcW w:w="1983" w:type="dxa"/>
            <w:gridSpan w:val="2"/>
            <w:vAlign w:val="top"/>
          </w:tcPr>
          <w:p>
            <w:pPr>
              <w:spacing w:line="240" w:lineRule="auto"/>
              <w:jc w:val="center"/>
              <w:rPr>
                <w:rFonts w:ascii="宋体" w:hAnsi="宋体"/>
              </w:rPr>
            </w:pPr>
          </w:p>
        </w:tc>
        <w:tc>
          <w:tcPr>
            <w:tcW w:w="2182" w:type="dxa"/>
            <w:gridSpan w:val="2"/>
            <w:vAlign w:val="top"/>
          </w:tcPr>
          <w:p>
            <w:pPr>
              <w:spacing w:line="240" w:lineRule="auto"/>
              <w:jc w:val="center"/>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exact"/>
        </w:trPr>
        <w:tc>
          <w:tcPr>
            <w:tcW w:w="665" w:type="dxa"/>
            <w:vMerge w:val="restart"/>
            <w:tcBorders>
              <w:right w:val="single" w:color="auto" w:sz="4" w:space="0"/>
            </w:tcBorders>
            <w:vAlign w:val="top"/>
          </w:tcPr>
          <w:p>
            <w:pPr>
              <w:jc w:val="center"/>
              <w:rPr>
                <w:rFonts w:ascii="宋体" w:hAnsi="宋体"/>
              </w:rPr>
            </w:pPr>
          </w:p>
          <w:p>
            <w:pPr>
              <w:jc w:val="center"/>
              <w:rPr>
                <w:rFonts w:ascii="宋体" w:hAnsi="宋体"/>
              </w:rPr>
            </w:pPr>
          </w:p>
          <w:p>
            <w:pPr>
              <w:jc w:val="center"/>
              <w:rPr>
                <w:rFonts w:hint="eastAsia" w:ascii="宋体" w:hAnsi="宋体"/>
              </w:rPr>
            </w:pPr>
            <w:r>
              <w:rPr>
                <w:rFonts w:hint="eastAsia" w:ascii="宋体" w:hAnsi="宋体"/>
              </w:rPr>
              <w:t>获奖</w:t>
            </w:r>
          </w:p>
          <w:p>
            <w:pPr>
              <w:jc w:val="center"/>
              <w:rPr>
                <w:rFonts w:hint="eastAsia" w:ascii="宋体" w:hAnsi="宋体" w:eastAsiaTheme="minorEastAsia"/>
                <w:lang w:eastAsia="zh-CN"/>
              </w:rPr>
            </w:pPr>
            <w:r>
              <w:rPr>
                <w:rFonts w:hint="eastAsia" w:ascii="宋体" w:hAnsi="宋体"/>
                <w:lang w:eastAsia="zh-CN"/>
              </w:rPr>
              <w:t>情况</w:t>
            </w:r>
          </w:p>
        </w:tc>
        <w:tc>
          <w:tcPr>
            <w:tcW w:w="1709" w:type="dxa"/>
            <w:gridSpan w:val="2"/>
            <w:tcBorders>
              <w:top w:val="single" w:color="auto" w:sz="4" w:space="0"/>
              <w:left w:val="single" w:color="auto" w:sz="4" w:space="0"/>
              <w:bottom w:val="single" w:color="auto" w:sz="4" w:space="0"/>
            </w:tcBorders>
            <w:vAlign w:val="top"/>
          </w:tcPr>
          <w:p>
            <w:pPr>
              <w:spacing w:line="360" w:lineRule="auto"/>
              <w:jc w:val="center"/>
              <w:rPr>
                <w:rFonts w:hint="eastAsia" w:ascii="宋体" w:hAnsi="宋体" w:eastAsiaTheme="minorEastAsia"/>
                <w:lang w:eastAsia="zh-CN"/>
              </w:rPr>
            </w:pPr>
            <w:r>
              <w:rPr>
                <w:rFonts w:hint="eastAsia" w:ascii="宋体" w:hAnsi="宋体"/>
                <w:lang w:eastAsia="zh-CN"/>
              </w:rPr>
              <w:t>团体奖项</w:t>
            </w:r>
          </w:p>
        </w:tc>
        <w:tc>
          <w:tcPr>
            <w:tcW w:w="1983" w:type="dxa"/>
            <w:gridSpan w:val="2"/>
            <w:tcBorders>
              <w:bottom w:val="single" w:color="auto" w:sz="4" w:space="0"/>
            </w:tcBorders>
            <w:vAlign w:val="top"/>
          </w:tcPr>
          <w:p>
            <w:pPr>
              <w:spacing w:line="480" w:lineRule="auto"/>
              <w:jc w:val="center"/>
              <w:rPr>
                <w:rFonts w:ascii="宋体" w:hAnsi="宋体"/>
              </w:rPr>
            </w:pPr>
          </w:p>
        </w:tc>
        <w:tc>
          <w:tcPr>
            <w:tcW w:w="1983" w:type="dxa"/>
            <w:gridSpan w:val="2"/>
            <w:tcBorders>
              <w:bottom w:val="single" w:color="auto" w:sz="4" w:space="0"/>
            </w:tcBorders>
            <w:vAlign w:val="top"/>
          </w:tcPr>
          <w:p>
            <w:pPr>
              <w:spacing w:line="480" w:lineRule="auto"/>
              <w:jc w:val="center"/>
              <w:rPr>
                <w:rFonts w:ascii="宋体" w:hAnsi="宋体"/>
              </w:rPr>
            </w:pPr>
          </w:p>
        </w:tc>
        <w:tc>
          <w:tcPr>
            <w:tcW w:w="2182" w:type="dxa"/>
            <w:gridSpan w:val="2"/>
            <w:tcBorders>
              <w:bottom w:val="single" w:color="auto" w:sz="4" w:space="0"/>
            </w:tcBorders>
            <w:vAlign w:val="top"/>
          </w:tcPr>
          <w:p>
            <w:pPr>
              <w:spacing w:line="480" w:lineRule="auto"/>
              <w:jc w:val="center"/>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exact"/>
        </w:trPr>
        <w:tc>
          <w:tcPr>
            <w:tcW w:w="665" w:type="dxa"/>
            <w:vMerge w:val="continue"/>
            <w:tcBorders>
              <w:right w:val="single" w:color="auto" w:sz="4" w:space="0"/>
            </w:tcBorders>
            <w:vAlign w:val="top"/>
          </w:tcPr>
          <w:p>
            <w:pPr>
              <w:jc w:val="center"/>
              <w:rPr>
                <w:rFonts w:hint="eastAsia" w:ascii="宋体" w:hAnsi="宋体"/>
                <w:lang w:eastAsia="zh-CN"/>
              </w:rPr>
            </w:pPr>
          </w:p>
        </w:tc>
        <w:tc>
          <w:tcPr>
            <w:tcW w:w="800" w:type="dxa"/>
            <w:vMerge w:val="restart"/>
            <w:tcBorders>
              <w:top w:val="single" w:color="auto" w:sz="4" w:space="0"/>
              <w:left w:val="single" w:color="auto" w:sz="4" w:space="0"/>
              <w:right w:val="single" w:color="auto" w:sz="4" w:space="0"/>
            </w:tcBorders>
            <w:vAlign w:val="top"/>
          </w:tcPr>
          <w:p>
            <w:pPr>
              <w:spacing w:line="240" w:lineRule="auto"/>
              <w:jc w:val="center"/>
              <w:rPr>
                <w:rFonts w:hint="eastAsia" w:ascii="宋体" w:hAnsi="宋体"/>
                <w:lang w:eastAsia="zh-CN"/>
              </w:rPr>
            </w:pPr>
          </w:p>
          <w:p>
            <w:pPr>
              <w:spacing w:line="240" w:lineRule="auto"/>
              <w:jc w:val="center"/>
              <w:rPr>
                <w:rFonts w:hint="eastAsia" w:ascii="宋体" w:hAnsi="宋体" w:eastAsiaTheme="minorEastAsia"/>
                <w:lang w:eastAsia="zh-CN"/>
              </w:rPr>
            </w:pPr>
            <w:r>
              <w:rPr>
                <w:rFonts w:hint="eastAsia" w:ascii="宋体" w:hAnsi="宋体"/>
                <w:lang w:eastAsia="zh-CN"/>
              </w:rPr>
              <w:t>个人获奖人数</w:t>
            </w:r>
          </w:p>
        </w:tc>
        <w:tc>
          <w:tcPr>
            <w:tcW w:w="909" w:type="dxa"/>
            <w:tcBorders>
              <w:top w:val="single" w:color="auto" w:sz="4" w:space="0"/>
              <w:left w:val="single" w:color="auto" w:sz="4" w:space="0"/>
              <w:bottom w:val="single" w:color="auto" w:sz="4" w:space="0"/>
            </w:tcBorders>
            <w:vAlign w:val="top"/>
          </w:tcPr>
          <w:p>
            <w:pPr>
              <w:spacing w:line="480" w:lineRule="auto"/>
              <w:jc w:val="center"/>
              <w:rPr>
                <w:rFonts w:hint="eastAsia" w:ascii="宋体" w:hAnsi="宋体" w:eastAsiaTheme="minorEastAsia"/>
                <w:lang w:eastAsia="zh-CN"/>
              </w:rPr>
            </w:pPr>
            <w:r>
              <w:rPr>
                <w:rFonts w:hint="eastAsia" w:ascii="宋体" w:hAnsi="宋体"/>
                <w:lang w:eastAsia="zh-CN"/>
              </w:rPr>
              <w:t>一等奖</w:t>
            </w:r>
          </w:p>
        </w:tc>
        <w:tc>
          <w:tcPr>
            <w:tcW w:w="1983" w:type="dxa"/>
            <w:gridSpan w:val="2"/>
            <w:tcBorders>
              <w:top w:val="single" w:color="auto" w:sz="4" w:space="0"/>
              <w:bottom w:val="single" w:color="auto" w:sz="4" w:space="0"/>
            </w:tcBorders>
            <w:vAlign w:val="top"/>
          </w:tcPr>
          <w:p>
            <w:pPr>
              <w:spacing w:line="480" w:lineRule="auto"/>
              <w:jc w:val="center"/>
              <w:rPr>
                <w:rFonts w:ascii="宋体" w:hAnsi="宋体"/>
              </w:rPr>
            </w:pPr>
          </w:p>
        </w:tc>
        <w:tc>
          <w:tcPr>
            <w:tcW w:w="1983" w:type="dxa"/>
            <w:gridSpan w:val="2"/>
            <w:tcBorders>
              <w:top w:val="single" w:color="auto" w:sz="4" w:space="0"/>
              <w:bottom w:val="single" w:color="auto" w:sz="4" w:space="0"/>
            </w:tcBorders>
            <w:vAlign w:val="top"/>
          </w:tcPr>
          <w:p>
            <w:pPr>
              <w:spacing w:line="480" w:lineRule="auto"/>
              <w:jc w:val="center"/>
              <w:rPr>
                <w:rFonts w:ascii="宋体" w:hAnsi="宋体"/>
              </w:rPr>
            </w:pPr>
          </w:p>
        </w:tc>
        <w:tc>
          <w:tcPr>
            <w:tcW w:w="2182" w:type="dxa"/>
            <w:gridSpan w:val="2"/>
            <w:tcBorders>
              <w:top w:val="single" w:color="auto" w:sz="4" w:space="0"/>
              <w:bottom w:val="single" w:color="auto" w:sz="4" w:space="0"/>
            </w:tcBorders>
            <w:vAlign w:val="top"/>
          </w:tcPr>
          <w:p>
            <w:pPr>
              <w:spacing w:line="480" w:lineRule="auto"/>
              <w:jc w:val="center"/>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exact"/>
        </w:trPr>
        <w:tc>
          <w:tcPr>
            <w:tcW w:w="665" w:type="dxa"/>
            <w:vMerge w:val="continue"/>
            <w:tcBorders>
              <w:right w:val="single" w:color="auto" w:sz="4" w:space="0"/>
            </w:tcBorders>
            <w:vAlign w:val="top"/>
          </w:tcPr>
          <w:p>
            <w:pPr>
              <w:spacing w:line="480" w:lineRule="auto"/>
              <w:jc w:val="center"/>
              <w:rPr>
                <w:rFonts w:ascii="宋体" w:hAnsi="宋体"/>
                <w:color w:val="FF0000"/>
              </w:rPr>
            </w:pPr>
          </w:p>
        </w:tc>
        <w:tc>
          <w:tcPr>
            <w:tcW w:w="800" w:type="dxa"/>
            <w:vMerge w:val="continue"/>
            <w:tcBorders>
              <w:left w:val="single" w:color="auto" w:sz="4" w:space="0"/>
              <w:right w:val="single" w:color="auto" w:sz="4" w:space="0"/>
            </w:tcBorders>
            <w:vAlign w:val="top"/>
          </w:tcPr>
          <w:p>
            <w:pPr>
              <w:spacing w:line="480" w:lineRule="auto"/>
              <w:jc w:val="center"/>
              <w:rPr>
                <w:rFonts w:ascii="宋体" w:hAnsi="宋体"/>
              </w:rPr>
            </w:pPr>
          </w:p>
        </w:tc>
        <w:tc>
          <w:tcPr>
            <w:tcW w:w="909" w:type="dxa"/>
            <w:tcBorders>
              <w:top w:val="single" w:color="auto" w:sz="4" w:space="0"/>
              <w:left w:val="single" w:color="auto" w:sz="4" w:space="0"/>
              <w:bottom w:val="single" w:color="auto" w:sz="4" w:space="0"/>
            </w:tcBorders>
            <w:vAlign w:val="top"/>
          </w:tcPr>
          <w:p>
            <w:pPr>
              <w:spacing w:line="480" w:lineRule="auto"/>
              <w:jc w:val="center"/>
              <w:rPr>
                <w:rFonts w:hint="eastAsia" w:ascii="宋体" w:hAnsi="宋体" w:eastAsiaTheme="minorEastAsia"/>
                <w:lang w:eastAsia="zh-CN"/>
              </w:rPr>
            </w:pPr>
            <w:r>
              <w:rPr>
                <w:rFonts w:hint="eastAsia" w:ascii="宋体" w:hAnsi="宋体"/>
                <w:lang w:eastAsia="zh-CN"/>
              </w:rPr>
              <w:t>二等奖</w:t>
            </w:r>
          </w:p>
        </w:tc>
        <w:tc>
          <w:tcPr>
            <w:tcW w:w="1983" w:type="dxa"/>
            <w:gridSpan w:val="2"/>
            <w:tcBorders>
              <w:top w:val="single" w:color="auto" w:sz="4" w:space="0"/>
              <w:bottom w:val="single" w:color="auto" w:sz="4" w:space="0"/>
            </w:tcBorders>
            <w:vAlign w:val="top"/>
          </w:tcPr>
          <w:p>
            <w:pPr>
              <w:spacing w:line="480" w:lineRule="auto"/>
              <w:jc w:val="center"/>
              <w:rPr>
                <w:rFonts w:ascii="宋体" w:hAnsi="宋体"/>
              </w:rPr>
            </w:pPr>
          </w:p>
        </w:tc>
        <w:tc>
          <w:tcPr>
            <w:tcW w:w="1983" w:type="dxa"/>
            <w:gridSpan w:val="2"/>
            <w:tcBorders>
              <w:top w:val="single" w:color="auto" w:sz="4" w:space="0"/>
              <w:bottom w:val="single" w:color="auto" w:sz="4" w:space="0"/>
            </w:tcBorders>
            <w:vAlign w:val="top"/>
          </w:tcPr>
          <w:p>
            <w:pPr>
              <w:spacing w:line="480" w:lineRule="auto"/>
              <w:jc w:val="center"/>
              <w:rPr>
                <w:rFonts w:ascii="宋体" w:hAnsi="宋体"/>
                <w:color w:val="FF0000"/>
              </w:rPr>
            </w:pPr>
          </w:p>
        </w:tc>
        <w:tc>
          <w:tcPr>
            <w:tcW w:w="2182" w:type="dxa"/>
            <w:gridSpan w:val="2"/>
            <w:tcBorders>
              <w:top w:val="single" w:color="auto" w:sz="4" w:space="0"/>
              <w:bottom w:val="single" w:color="auto" w:sz="4" w:space="0"/>
            </w:tcBorders>
            <w:vAlign w:val="top"/>
          </w:tcPr>
          <w:p>
            <w:pPr>
              <w:spacing w:line="480" w:lineRule="auto"/>
              <w:jc w:val="center"/>
              <w:rPr>
                <w:rFonts w:ascii="宋体" w:hAnsi="宋体"/>
                <w:color w:val="FF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exact"/>
        </w:trPr>
        <w:tc>
          <w:tcPr>
            <w:tcW w:w="665" w:type="dxa"/>
            <w:vMerge w:val="continue"/>
            <w:tcBorders>
              <w:right w:val="single" w:color="auto" w:sz="4" w:space="0"/>
            </w:tcBorders>
            <w:vAlign w:val="top"/>
          </w:tcPr>
          <w:p>
            <w:pPr>
              <w:spacing w:line="480" w:lineRule="auto"/>
              <w:jc w:val="center"/>
              <w:rPr>
                <w:rFonts w:ascii="宋体" w:hAnsi="宋体"/>
                <w:color w:val="FF0000"/>
              </w:rPr>
            </w:pPr>
          </w:p>
        </w:tc>
        <w:tc>
          <w:tcPr>
            <w:tcW w:w="800" w:type="dxa"/>
            <w:vMerge w:val="continue"/>
            <w:tcBorders>
              <w:left w:val="single" w:color="auto" w:sz="4" w:space="0"/>
              <w:right w:val="single" w:color="auto" w:sz="4" w:space="0"/>
            </w:tcBorders>
            <w:vAlign w:val="top"/>
          </w:tcPr>
          <w:p>
            <w:pPr>
              <w:spacing w:line="480" w:lineRule="auto"/>
              <w:jc w:val="center"/>
              <w:rPr>
                <w:rFonts w:ascii="宋体" w:hAnsi="宋体"/>
              </w:rPr>
            </w:pPr>
          </w:p>
        </w:tc>
        <w:tc>
          <w:tcPr>
            <w:tcW w:w="909" w:type="dxa"/>
            <w:tcBorders>
              <w:top w:val="single" w:color="auto" w:sz="4" w:space="0"/>
              <w:left w:val="single" w:color="auto" w:sz="4" w:space="0"/>
            </w:tcBorders>
            <w:vAlign w:val="top"/>
          </w:tcPr>
          <w:p>
            <w:pPr>
              <w:spacing w:line="480" w:lineRule="auto"/>
              <w:jc w:val="center"/>
              <w:rPr>
                <w:rFonts w:hint="eastAsia" w:ascii="宋体" w:hAnsi="宋体" w:eastAsiaTheme="minorEastAsia"/>
                <w:lang w:eastAsia="zh-CN"/>
              </w:rPr>
            </w:pPr>
            <w:r>
              <w:rPr>
                <w:rFonts w:hint="eastAsia" w:ascii="宋体" w:hAnsi="宋体"/>
                <w:lang w:eastAsia="zh-CN"/>
              </w:rPr>
              <w:t>三等奖</w:t>
            </w:r>
          </w:p>
        </w:tc>
        <w:tc>
          <w:tcPr>
            <w:tcW w:w="1983" w:type="dxa"/>
            <w:gridSpan w:val="2"/>
            <w:tcBorders>
              <w:top w:val="single" w:color="auto" w:sz="4" w:space="0"/>
            </w:tcBorders>
            <w:vAlign w:val="top"/>
          </w:tcPr>
          <w:p>
            <w:pPr>
              <w:spacing w:line="480" w:lineRule="auto"/>
              <w:jc w:val="center"/>
              <w:rPr>
                <w:rFonts w:ascii="宋体" w:hAnsi="宋体"/>
              </w:rPr>
            </w:pPr>
          </w:p>
        </w:tc>
        <w:tc>
          <w:tcPr>
            <w:tcW w:w="1983" w:type="dxa"/>
            <w:gridSpan w:val="2"/>
            <w:tcBorders>
              <w:top w:val="single" w:color="auto" w:sz="4" w:space="0"/>
            </w:tcBorders>
            <w:vAlign w:val="top"/>
          </w:tcPr>
          <w:p>
            <w:pPr>
              <w:spacing w:line="480" w:lineRule="auto"/>
              <w:jc w:val="center"/>
              <w:rPr>
                <w:rFonts w:ascii="宋体" w:hAnsi="宋体"/>
                <w:color w:val="FF0000"/>
              </w:rPr>
            </w:pPr>
          </w:p>
        </w:tc>
        <w:tc>
          <w:tcPr>
            <w:tcW w:w="2182" w:type="dxa"/>
            <w:gridSpan w:val="2"/>
            <w:tcBorders>
              <w:top w:val="single" w:color="auto" w:sz="4" w:space="0"/>
            </w:tcBorders>
            <w:vAlign w:val="top"/>
          </w:tcPr>
          <w:p>
            <w:pPr>
              <w:spacing w:line="480" w:lineRule="auto"/>
              <w:jc w:val="center"/>
              <w:rPr>
                <w:rFonts w:ascii="宋体" w:hAnsi="宋体"/>
                <w:color w:val="FF0000"/>
              </w:rPr>
            </w:pPr>
          </w:p>
        </w:tc>
      </w:tr>
    </w:tbl>
    <w:p>
      <w:pPr>
        <w:ind w:left="632" w:hanging="632" w:hangingChars="300"/>
        <w:jc w:val="left"/>
        <w:rPr>
          <w:rFonts w:hint="eastAsia" w:cs="仿宋" w:asciiTheme="minorEastAsia" w:hAnsiTheme="minorEastAsia"/>
          <w:b/>
          <w:bCs/>
          <w:szCs w:val="21"/>
        </w:rPr>
      </w:pPr>
    </w:p>
    <w:p>
      <w:pPr>
        <w:ind w:left="632" w:hanging="632" w:hangingChars="300"/>
        <w:jc w:val="left"/>
        <w:rPr>
          <w:rFonts w:hint="eastAsia" w:cs="仿宋" w:asciiTheme="minorEastAsia" w:hAnsiTheme="minorEastAsia"/>
          <w:b/>
          <w:bCs/>
          <w:szCs w:val="21"/>
        </w:rPr>
      </w:pPr>
    </w:p>
    <w:p>
      <w:pPr>
        <w:ind w:left="632" w:hanging="632" w:hangingChars="300"/>
        <w:jc w:val="left"/>
        <w:rPr>
          <w:rFonts w:cs="仿宋" w:asciiTheme="minorEastAsia" w:hAnsiTheme="minorEastAsia"/>
          <w:b/>
          <w:bCs/>
          <w:szCs w:val="21"/>
        </w:rPr>
      </w:pPr>
      <w:r>
        <w:rPr>
          <w:rFonts w:hint="eastAsia" w:cs="仿宋" w:asciiTheme="minorEastAsia" w:hAnsiTheme="minorEastAsia"/>
          <w:b/>
          <w:bCs/>
          <w:szCs w:val="21"/>
        </w:rPr>
        <w:t>说明：1.兼具多项资格的专业人士，在相应分项应分别计数，总数只能按一人统计；</w:t>
      </w:r>
    </w:p>
    <w:p>
      <w:pPr>
        <w:ind w:left="720" w:leftChars="343"/>
        <w:jc w:val="left"/>
        <w:rPr>
          <w:rFonts w:cs="仿宋" w:asciiTheme="minorEastAsia" w:hAnsiTheme="minorEastAsia"/>
          <w:b/>
          <w:bCs/>
          <w:szCs w:val="21"/>
        </w:rPr>
      </w:pPr>
      <w:r>
        <w:rPr>
          <w:rFonts w:hint="eastAsia" w:cs="仿宋" w:asciiTheme="minorEastAsia" w:hAnsiTheme="minorEastAsia"/>
          <w:b/>
          <w:bCs/>
          <w:szCs w:val="21"/>
        </w:rPr>
        <w:t>2.企业一级注册造价工程师全部填入，并依住建部门所属的注册管理机构信息为准；</w:t>
      </w:r>
    </w:p>
    <w:p>
      <w:pPr>
        <w:ind w:left="720" w:leftChars="343"/>
        <w:jc w:val="left"/>
        <w:rPr>
          <w:rFonts w:cs="仿宋" w:asciiTheme="minorEastAsia" w:hAnsiTheme="minorEastAsia"/>
          <w:b/>
          <w:bCs/>
          <w:szCs w:val="21"/>
        </w:rPr>
      </w:pPr>
      <w:r>
        <w:rPr>
          <w:rFonts w:hint="eastAsia" w:cs="仿宋" w:asciiTheme="minorEastAsia" w:hAnsiTheme="minorEastAsia"/>
          <w:b/>
          <w:bCs/>
          <w:szCs w:val="21"/>
        </w:rPr>
        <w:t>3.缴纳社会保险情况以社会保险管理机构凭证为准（提供复印件）；</w:t>
      </w:r>
    </w:p>
    <w:p>
      <w:pPr>
        <w:ind w:left="720" w:leftChars="343"/>
        <w:jc w:val="left"/>
        <w:rPr>
          <w:b/>
          <w:spacing w:val="5"/>
          <w:w w:val="95"/>
          <w:kern w:val="0"/>
          <w:sz w:val="36"/>
          <w:szCs w:val="36"/>
        </w:rPr>
      </w:pPr>
      <w:r>
        <w:rPr>
          <w:rFonts w:hint="eastAsia" w:cs="仿宋" w:asciiTheme="minorEastAsia" w:hAnsiTheme="minorEastAsia"/>
          <w:b/>
          <w:bCs/>
          <w:szCs w:val="21"/>
        </w:rPr>
        <w:t>4.人才状况、评价期注册造价工程师稳岗率，需提供评价期第一年度、第二年度年末相关数据的证明材料。（截图等）</w:t>
      </w:r>
    </w:p>
    <w:p>
      <w:pPr>
        <w:jc w:val="both"/>
        <w:rPr>
          <w:rFonts w:hint="eastAsia" w:asciiTheme="majorEastAsia" w:hAnsiTheme="majorEastAsia" w:eastAsiaTheme="majorEastAsia"/>
          <w:spacing w:val="5"/>
          <w:w w:val="95"/>
          <w:kern w:val="0"/>
          <w:sz w:val="32"/>
          <w:szCs w:val="32"/>
          <w:lang w:val="en-US" w:eastAsia="zh-CN"/>
        </w:rPr>
      </w:pPr>
      <w:r>
        <w:rPr>
          <w:rFonts w:hint="eastAsia" w:asciiTheme="majorEastAsia" w:hAnsiTheme="majorEastAsia" w:eastAsiaTheme="majorEastAsia"/>
          <w:spacing w:val="5"/>
          <w:w w:val="95"/>
          <w:kern w:val="0"/>
          <w:sz w:val="32"/>
          <w:szCs w:val="32"/>
          <w:lang w:val="en-US" w:eastAsia="zh-CN"/>
        </w:rPr>
        <w:t xml:space="preserve"> </w:t>
      </w:r>
    </w:p>
    <w:p>
      <w:pPr>
        <w:jc w:val="center"/>
        <w:rPr>
          <w:rFonts w:hint="eastAsia" w:asciiTheme="minorEastAsia" w:hAnsiTheme="minorEastAsia" w:cstheme="minorEastAsia"/>
          <w:b/>
          <w:bCs/>
          <w:sz w:val="18"/>
          <w:szCs w:val="18"/>
        </w:rPr>
      </w:pPr>
      <w:r>
        <w:rPr>
          <w:rFonts w:hint="eastAsia" w:asciiTheme="minorEastAsia" w:hAnsiTheme="minorEastAsia" w:cstheme="minorEastAsia"/>
          <w:b/>
          <w:bCs/>
          <w:sz w:val="36"/>
          <w:szCs w:val="36"/>
        </w:rPr>
        <w:t>评价期企业人才状况</w:t>
      </w:r>
      <w:r>
        <w:rPr>
          <w:rFonts w:hint="eastAsia" w:asciiTheme="minorEastAsia" w:hAnsiTheme="minorEastAsia" w:cstheme="minorEastAsia"/>
          <w:b/>
          <w:bCs/>
          <w:sz w:val="36"/>
          <w:szCs w:val="36"/>
          <w:lang w:eastAsia="zh-CN"/>
        </w:rPr>
        <w:t>表</w:t>
      </w:r>
      <w:r>
        <w:rPr>
          <w:rFonts w:hint="eastAsia" w:asciiTheme="minorEastAsia" w:hAnsiTheme="minorEastAsia" w:cstheme="minorEastAsia"/>
          <w:b/>
          <w:bCs/>
          <w:sz w:val="36"/>
          <w:szCs w:val="36"/>
        </w:rPr>
        <w:t>（续</w:t>
      </w:r>
      <w:r>
        <w:rPr>
          <w:rFonts w:hint="eastAsia" w:asciiTheme="minorEastAsia" w:hAnsiTheme="minorEastAsia" w:cstheme="minorEastAsia"/>
          <w:b/>
          <w:bCs/>
          <w:sz w:val="36"/>
          <w:szCs w:val="36"/>
          <w:lang w:eastAsia="zh-CN"/>
        </w:rPr>
        <w:t>二</w:t>
      </w:r>
      <w:r>
        <w:rPr>
          <w:rFonts w:hint="eastAsia" w:asciiTheme="minorEastAsia" w:hAnsiTheme="minorEastAsia" w:cstheme="minorEastAsia"/>
          <w:b/>
          <w:bCs/>
          <w:sz w:val="36"/>
          <w:szCs w:val="36"/>
        </w:rPr>
        <w:t>）</w:t>
      </w:r>
    </w:p>
    <w:p>
      <w:pPr>
        <w:jc w:val="center"/>
        <w:rPr>
          <w:rFonts w:hint="eastAsia" w:asciiTheme="minorEastAsia" w:hAnsiTheme="minorEastAsia" w:cstheme="minorEastAsia"/>
          <w:b/>
          <w:bCs/>
          <w:sz w:val="18"/>
          <w:szCs w:val="18"/>
        </w:rPr>
      </w:pPr>
    </w:p>
    <w:tbl>
      <w:tblPr>
        <w:tblStyle w:val="4"/>
        <w:tblpPr w:leftFromText="180" w:rightFromText="180" w:vertAnchor="text" w:horzAnchor="page" w:tblpX="1165" w:tblpY="25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53"/>
        <w:gridCol w:w="23"/>
        <w:gridCol w:w="1117"/>
        <w:gridCol w:w="726"/>
        <w:gridCol w:w="709"/>
        <w:gridCol w:w="800"/>
        <w:gridCol w:w="617"/>
        <w:gridCol w:w="1276"/>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31" w:type="dxa"/>
            <w:gridSpan w:val="11"/>
            <w:vAlign w:val="center"/>
          </w:tcPr>
          <w:p>
            <w:pPr>
              <w:jc w:val="center"/>
              <w:rPr>
                <w:sz w:val="28"/>
                <w:szCs w:val="28"/>
              </w:rPr>
            </w:pPr>
            <w:r>
              <w:rPr>
                <w:rFonts w:hint="eastAsia"/>
                <w:b/>
                <w:bCs/>
                <w:sz w:val="28"/>
                <w:szCs w:val="28"/>
              </w:rPr>
              <w:t>高端人才一览表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75" w:type="dxa"/>
            <w:vAlign w:val="center"/>
          </w:tcPr>
          <w:p>
            <w:pPr>
              <w:jc w:val="center"/>
              <w:rPr>
                <w:szCs w:val="21"/>
              </w:rPr>
            </w:pPr>
            <w:r>
              <w:rPr>
                <w:rFonts w:hint="eastAsia"/>
                <w:szCs w:val="21"/>
              </w:rPr>
              <w:t>序号</w:t>
            </w:r>
          </w:p>
        </w:tc>
        <w:tc>
          <w:tcPr>
            <w:tcW w:w="1276" w:type="dxa"/>
            <w:gridSpan w:val="2"/>
            <w:vAlign w:val="center"/>
          </w:tcPr>
          <w:p>
            <w:pPr>
              <w:jc w:val="center"/>
              <w:rPr>
                <w:szCs w:val="21"/>
              </w:rPr>
            </w:pPr>
            <w:r>
              <w:rPr>
                <w:rFonts w:hint="eastAsia"/>
                <w:szCs w:val="21"/>
              </w:rPr>
              <w:t>姓名</w:t>
            </w:r>
          </w:p>
        </w:tc>
        <w:tc>
          <w:tcPr>
            <w:tcW w:w="1843" w:type="dxa"/>
            <w:gridSpan w:val="2"/>
            <w:vAlign w:val="center"/>
          </w:tcPr>
          <w:p>
            <w:pPr>
              <w:jc w:val="center"/>
              <w:rPr>
                <w:szCs w:val="21"/>
              </w:rPr>
            </w:pPr>
            <w:r>
              <w:rPr>
                <w:rFonts w:hint="eastAsia"/>
                <w:szCs w:val="21"/>
              </w:rPr>
              <w:t>学位及证件号码</w:t>
            </w:r>
          </w:p>
        </w:tc>
        <w:tc>
          <w:tcPr>
            <w:tcW w:w="2126" w:type="dxa"/>
            <w:gridSpan w:val="3"/>
            <w:vAlign w:val="center"/>
          </w:tcPr>
          <w:p>
            <w:pPr>
              <w:jc w:val="center"/>
              <w:rPr>
                <w:szCs w:val="21"/>
              </w:rPr>
            </w:pPr>
            <w:r>
              <w:rPr>
                <w:rFonts w:hint="eastAsia"/>
                <w:szCs w:val="21"/>
              </w:rPr>
              <w:t>技术职称及证件号码</w:t>
            </w:r>
          </w:p>
        </w:tc>
        <w:tc>
          <w:tcPr>
            <w:tcW w:w="2552" w:type="dxa"/>
            <w:gridSpan w:val="2"/>
            <w:vAlign w:val="center"/>
          </w:tcPr>
          <w:p>
            <w:pPr>
              <w:rPr>
                <w:szCs w:val="21"/>
              </w:rPr>
            </w:pPr>
            <w:r>
              <w:rPr>
                <w:rFonts w:hint="eastAsia"/>
                <w:szCs w:val="21"/>
              </w:rPr>
              <w:t>注册执业资格及证书号码</w:t>
            </w:r>
          </w:p>
        </w:tc>
        <w:tc>
          <w:tcPr>
            <w:tcW w:w="1559" w:type="dxa"/>
            <w:vAlign w:val="center"/>
          </w:tcPr>
          <w:p>
            <w:pPr>
              <w:jc w:val="center"/>
              <w:rPr>
                <w:szCs w:val="21"/>
              </w:rPr>
            </w:pPr>
            <w:r>
              <w:rPr>
                <w:rFonts w:hint="eastAsia"/>
                <w:szCs w:val="21"/>
              </w:rPr>
              <w:t>主要专业方向或技术专长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75" w:type="dxa"/>
            <w:vAlign w:val="center"/>
          </w:tcPr>
          <w:p>
            <w:pPr>
              <w:jc w:val="center"/>
              <w:rPr>
                <w:sz w:val="18"/>
                <w:szCs w:val="18"/>
              </w:rPr>
            </w:pPr>
            <w:r>
              <w:rPr>
                <w:rFonts w:hint="eastAsia"/>
                <w:sz w:val="18"/>
                <w:szCs w:val="18"/>
              </w:rPr>
              <w:t>1</w:t>
            </w:r>
          </w:p>
        </w:tc>
        <w:tc>
          <w:tcPr>
            <w:tcW w:w="1276" w:type="dxa"/>
            <w:gridSpan w:val="2"/>
            <w:vAlign w:val="center"/>
          </w:tcPr>
          <w:p>
            <w:pPr>
              <w:jc w:val="center"/>
              <w:rPr>
                <w:sz w:val="18"/>
                <w:szCs w:val="18"/>
              </w:rPr>
            </w:pPr>
          </w:p>
        </w:tc>
        <w:tc>
          <w:tcPr>
            <w:tcW w:w="1843" w:type="dxa"/>
            <w:gridSpan w:val="2"/>
            <w:vAlign w:val="center"/>
          </w:tcPr>
          <w:p>
            <w:pPr>
              <w:jc w:val="center"/>
              <w:rPr>
                <w:sz w:val="18"/>
                <w:szCs w:val="18"/>
              </w:rPr>
            </w:pPr>
          </w:p>
        </w:tc>
        <w:tc>
          <w:tcPr>
            <w:tcW w:w="2126" w:type="dxa"/>
            <w:gridSpan w:val="3"/>
            <w:vAlign w:val="center"/>
          </w:tcPr>
          <w:p>
            <w:pPr>
              <w:jc w:val="center"/>
              <w:rPr>
                <w:sz w:val="18"/>
                <w:szCs w:val="18"/>
              </w:rPr>
            </w:pPr>
          </w:p>
        </w:tc>
        <w:tc>
          <w:tcPr>
            <w:tcW w:w="2552" w:type="dxa"/>
            <w:gridSpan w:val="2"/>
            <w:vAlign w:val="center"/>
          </w:tcPr>
          <w:p>
            <w:pPr>
              <w:rPr>
                <w:sz w:val="18"/>
                <w:szCs w:val="18"/>
              </w:rPr>
            </w:pPr>
          </w:p>
        </w:tc>
        <w:tc>
          <w:tcPr>
            <w:tcW w:w="155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dxa"/>
            <w:vAlign w:val="center"/>
          </w:tcPr>
          <w:p>
            <w:pPr>
              <w:jc w:val="center"/>
              <w:rPr>
                <w:sz w:val="18"/>
                <w:szCs w:val="18"/>
              </w:rPr>
            </w:pPr>
            <w:r>
              <w:rPr>
                <w:rFonts w:hint="eastAsia"/>
                <w:sz w:val="18"/>
                <w:szCs w:val="18"/>
              </w:rPr>
              <w:t>2</w:t>
            </w:r>
          </w:p>
        </w:tc>
        <w:tc>
          <w:tcPr>
            <w:tcW w:w="1276" w:type="dxa"/>
            <w:gridSpan w:val="2"/>
            <w:vAlign w:val="center"/>
          </w:tcPr>
          <w:p>
            <w:pPr>
              <w:jc w:val="center"/>
              <w:rPr>
                <w:sz w:val="18"/>
                <w:szCs w:val="18"/>
              </w:rPr>
            </w:pPr>
          </w:p>
        </w:tc>
        <w:tc>
          <w:tcPr>
            <w:tcW w:w="1843" w:type="dxa"/>
            <w:gridSpan w:val="2"/>
            <w:vAlign w:val="center"/>
          </w:tcPr>
          <w:p>
            <w:pPr>
              <w:jc w:val="center"/>
              <w:rPr>
                <w:sz w:val="18"/>
                <w:szCs w:val="18"/>
              </w:rPr>
            </w:pPr>
          </w:p>
        </w:tc>
        <w:tc>
          <w:tcPr>
            <w:tcW w:w="2126" w:type="dxa"/>
            <w:gridSpan w:val="3"/>
            <w:vAlign w:val="center"/>
          </w:tcPr>
          <w:p>
            <w:pPr>
              <w:jc w:val="center"/>
              <w:rPr>
                <w:sz w:val="18"/>
                <w:szCs w:val="18"/>
              </w:rPr>
            </w:pPr>
          </w:p>
        </w:tc>
        <w:tc>
          <w:tcPr>
            <w:tcW w:w="2552" w:type="dxa"/>
            <w:gridSpan w:val="2"/>
            <w:vAlign w:val="center"/>
          </w:tcPr>
          <w:p>
            <w:pPr>
              <w:rPr>
                <w:sz w:val="18"/>
                <w:szCs w:val="18"/>
              </w:rPr>
            </w:pPr>
          </w:p>
        </w:tc>
        <w:tc>
          <w:tcPr>
            <w:tcW w:w="155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Align w:val="center"/>
          </w:tcPr>
          <w:p>
            <w:pPr>
              <w:jc w:val="center"/>
              <w:rPr>
                <w:sz w:val="18"/>
                <w:szCs w:val="18"/>
              </w:rPr>
            </w:pPr>
            <w:r>
              <w:rPr>
                <w:rFonts w:hint="eastAsia"/>
                <w:sz w:val="18"/>
                <w:szCs w:val="18"/>
              </w:rPr>
              <w:t>3</w:t>
            </w:r>
          </w:p>
        </w:tc>
        <w:tc>
          <w:tcPr>
            <w:tcW w:w="1276" w:type="dxa"/>
            <w:gridSpan w:val="2"/>
            <w:vAlign w:val="center"/>
          </w:tcPr>
          <w:p>
            <w:pPr>
              <w:jc w:val="center"/>
              <w:rPr>
                <w:sz w:val="18"/>
                <w:szCs w:val="18"/>
              </w:rPr>
            </w:pPr>
          </w:p>
        </w:tc>
        <w:tc>
          <w:tcPr>
            <w:tcW w:w="1843" w:type="dxa"/>
            <w:gridSpan w:val="2"/>
            <w:vAlign w:val="center"/>
          </w:tcPr>
          <w:p>
            <w:pPr>
              <w:jc w:val="center"/>
              <w:rPr>
                <w:sz w:val="18"/>
                <w:szCs w:val="18"/>
              </w:rPr>
            </w:pPr>
          </w:p>
        </w:tc>
        <w:tc>
          <w:tcPr>
            <w:tcW w:w="2126" w:type="dxa"/>
            <w:gridSpan w:val="3"/>
            <w:vAlign w:val="center"/>
          </w:tcPr>
          <w:p>
            <w:pPr>
              <w:jc w:val="center"/>
              <w:rPr>
                <w:sz w:val="18"/>
                <w:szCs w:val="18"/>
              </w:rPr>
            </w:pPr>
          </w:p>
        </w:tc>
        <w:tc>
          <w:tcPr>
            <w:tcW w:w="2552" w:type="dxa"/>
            <w:gridSpan w:val="2"/>
            <w:vAlign w:val="center"/>
          </w:tcPr>
          <w:p>
            <w:pPr>
              <w:rPr>
                <w:sz w:val="18"/>
                <w:szCs w:val="18"/>
              </w:rPr>
            </w:pPr>
          </w:p>
        </w:tc>
        <w:tc>
          <w:tcPr>
            <w:tcW w:w="155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w:t>
            </w:r>
          </w:p>
        </w:tc>
        <w:tc>
          <w:tcPr>
            <w:tcW w:w="1276" w:type="dxa"/>
            <w:gridSpan w:val="2"/>
            <w:vAlign w:val="center"/>
          </w:tcPr>
          <w:p>
            <w:pPr>
              <w:jc w:val="center"/>
              <w:rPr>
                <w:sz w:val="18"/>
                <w:szCs w:val="18"/>
              </w:rPr>
            </w:pPr>
          </w:p>
        </w:tc>
        <w:tc>
          <w:tcPr>
            <w:tcW w:w="1843" w:type="dxa"/>
            <w:gridSpan w:val="2"/>
            <w:vAlign w:val="center"/>
          </w:tcPr>
          <w:p>
            <w:pPr>
              <w:jc w:val="center"/>
              <w:rPr>
                <w:sz w:val="18"/>
                <w:szCs w:val="18"/>
              </w:rPr>
            </w:pPr>
          </w:p>
        </w:tc>
        <w:tc>
          <w:tcPr>
            <w:tcW w:w="2126" w:type="dxa"/>
            <w:gridSpan w:val="3"/>
            <w:vAlign w:val="center"/>
          </w:tcPr>
          <w:p>
            <w:pPr>
              <w:jc w:val="center"/>
              <w:rPr>
                <w:sz w:val="18"/>
                <w:szCs w:val="18"/>
              </w:rPr>
            </w:pPr>
          </w:p>
        </w:tc>
        <w:tc>
          <w:tcPr>
            <w:tcW w:w="2552" w:type="dxa"/>
            <w:gridSpan w:val="2"/>
            <w:vAlign w:val="center"/>
          </w:tcPr>
          <w:p>
            <w:pPr>
              <w:rPr>
                <w:sz w:val="18"/>
                <w:szCs w:val="18"/>
              </w:rPr>
            </w:pPr>
          </w:p>
        </w:tc>
        <w:tc>
          <w:tcPr>
            <w:tcW w:w="1559"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31" w:type="dxa"/>
            <w:gridSpan w:val="11"/>
            <w:vAlign w:val="center"/>
          </w:tcPr>
          <w:p>
            <w:pPr>
              <w:jc w:val="center"/>
              <w:rPr>
                <w:sz w:val="18"/>
                <w:szCs w:val="18"/>
              </w:rPr>
            </w:pPr>
            <w:r>
              <w:rPr>
                <w:rFonts w:hint="eastAsia"/>
                <w:b/>
                <w:bCs/>
                <w:sz w:val="28"/>
                <w:szCs w:val="28"/>
              </w:rPr>
              <w:t>复合型人才一览表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Cs w:val="21"/>
              </w:rPr>
              <w:t>序号</w:t>
            </w:r>
          </w:p>
        </w:tc>
        <w:tc>
          <w:tcPr>
            <w:tcW w:w="1253" w:type="dxa"/>
            <w:vAlign w:val="center"/>
          </w:tcPr>
          <w:p>
            <w:pPr>
              <w:jc w:val="center"/>
              <w:rPr>
                <w:sz w:val="18"/>
                <w:szCs w:val="18"/>
              </w:rPr>
            </w:pPr>
            <w:r>
              <w:rPr>
                <w:rFonts w:hint="eastAsia"/>
                <w:szCs w:val="21"/>
              </w:rPr>
              <w:t>姓名</w:t>
            </w:r>
          </w:p>
        </w:tc>
        <w:tc>
          <w:tcPr>
            <w:tcW w:w="2575" w:type="dxa"/>
            <w:gridSpan w:val="4"/>
            <w:vAlign w:val="center"/>
          </w:tcPr>
          <w:p>
            <w:pPr>
              <w:jc w:val="center"/>
              <w:rPr>
                <w:sz w:val="18"/>
                <w:szCs w:val="18"/>
              </w:rPr>
            </w:pPr>
            <w:r>
              <w:rPr>
                <w:rFonts w:hint="eastAsia"/>
                <w:szCs w:val="21"/>
              </w:rPr>
              <w:t>主要执业资格及证书号码</w:t>
            </w:r>
          </w:p>
        </w:tc>
        <w:tc>
          <w:tcPr>
            <w:tcW w:w="2693" w:type="dxa"/>
            <w:gridSpan w:val="3"/>
            <w:vAlign w:val="center"/>
          </w:tcPr>
          <w:p>
            <w:pPr>
              <w:jc w:val="center"/>
              <w:rPr>
                <w:sz w:val="18"/>
                <w:szCs w:val="18"/>
              </w:rPr>
            </w:pPr>
            <w:r>
              <w:rPr>
                <w:rFonts w:hint="eastAsia"/>
                <w:szCs w:val="21"/>
              </w:rPr>
              <w:t>兼有执业资格及证书号码</w:t>
            </w:r>
          </w:p>
        </w:tc>
        <w:tc>
          <w:tcPr>
            <w:tcW w:w="2835" w:type="dxa"/>
            <w:gridSpan w:val="2"/>
            <w:vAlign w:val="center"/>
          </w:tcPr>
          <w:p>
            <w:pPr>
              <w:jc w:val="center"/>
              <w:rPr>
                <w:szCs w:val="21"/>
              </w:rPr>
            </w:pPr>
            <w:r>
              <w:rPr>
                <w:rFonts w:hint="eastAsia"/>
                <w:szCs w:val="21"/>
              </w:rPr>
              <w:t>申报期一个最具代表性</w:t>
            </w:r>
          </w:p>
          <w:p>
            <w:pPr>
              <w:jc w:val="center"/>
              <w:rPr>
                <w:sz w:val="18"/>
                <w:szCs w:val="18"/>
              </w:rPr>
            </w:pPr>
            <w:r>
              <w:rPr>
                <w:rFonts w:hint="eastAsia"/>
                <w:szCs w:val="21"/>
              </w:rPr>
              <w:t>成果项目（名称、编号）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1</w:t>
            </w:r>
          </w:p>
        </w:tc>
        <w:tc>
          <w:tcPr>
            <w:tcW w:w="1253" w:type="dxa"/>
            <w:vAlign w:val="center"/>
          </w:tcPr>
          <w:p>
            <w:pPr>
              <w:jc w:val="center"/>
              <w:rPr>
                <w:sz w:val="18"/>
                <w:szCs w:val="18"/>
              </w:rPr>
            </w:pPr>
          </w:p>
        </w:tc>
        <w:tc>
          <w:tcPr>
            <w:tcW w:w="2575" w:type="dxa"/>
            <w:gridSpan w:val="4"/>
            <w:vAlign w:val="center"/>
          </w:tcPr>
          <w:p>
            <w:pPr>
              <w:jc w:val="center"/>
              <w:rPr>
                <w:sz w:val="18"/>
                <w:szCs w:val="18"/>
              </w:rPr>
            </w:pPr>
          </w:p>
        </w:tc>
        <w:tc>
          <w:tcPr>
            <w:tcW w:w="2693" w:type="dxa"/>
            <w:gridSpan w:val="3"/>
            <w:vAlign w:val="center"/>
          </w:tcPr>
          <w:p>
            <w:pPr>
              <w:jc w:val="center"/>
              <w:rPr>
                <w:sz w:val="18"/>
                <w:szCs w:val="18"/>
              </w:rPr>
            </w:pPr>
          </w:p>
        </w:tc>
        <w:tc>
          <w:tcPr>
            <w:tcW w:w="2835" w:type="dxa"/>
            <w:gridSpan w:val="2"/>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2</w:t>
            </w:r>
          </w:p>
        </w:tc>
        <w:tc>
          <w:tcPr>
            <w:tcW w:w="1253" w:type="dxa"/>
            <w:vAlign w:val="center"/>
          </w:tcPr>
          <w:p>
            <w:pPr>
              <w:jc w:val="center"/>
              <w:rPr>
                <w:sz w:val="18"/>
                <w:szCs w:val="18"/>
              </w:rPr>
            </w:pPr>
          </w:p>
        </w:tc>
        <w:tc>
          <w:tcPr>
            <w:tcW w:w="2575" w:type="dxa"/>
            <w:gridSpan w:val="4"/>
            <w:vAlign w:val="center"/>
          </w:tcPr>
          <w:p>
            <w:pPr>
              <w:jc w:val="center"/>
              <w:rPr>
                <w:sz w:val="18"/>
                <w:szCs w:val="18"/>
              </w:rPr>
            </w:pPr>
          </w:p>
        </w:tc>
        <w:tc>
          <w:tcPr>
            <w:tcW w:w="2693" w:type="dxa"/>
            <w:gridSpan w:val="3"/>
            <w:vAlign w:val="center"/>
          </w:tcPr>
          <w:p>
            <w:pPr>
              <w:jc w:val="center"/>
              <w:rPr>
                <w:sz w:val="18"/>
                <w:szCs w:val="18"/>
              </w:rPr>
            </w:pPr>
          </w:p>
        </w:tc>
        <w:tc>
          <w:tcPr>
            <w:tcW w:w="2835" w:type="dxa"/>
            <w:gridSpan w:val="2"/>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3</w:t>
            </w:r>
          </w:p>
        </w:tc>
        <w:tc>
          <w:tcPr>
            <w:tcW w:w="1253" w:type="dxa"/>
            <w:vAlign w:val="center"/>
          </w:tcPr>
          <w:p>
            <w:pPr>
              <w:jc w:val="center"/>
              <w:rPr>
                <w:sz w:val="18"/>
                <w:szCs w:val="18"/>
              </w:rPr>
            </w:pPr>
          </w:p>
        </w:tc>
        <w:tc>
          <w:tcPr>
            <w:tcW w:w="2575" w:type="dxa"/>
            <w:gridSpan w:val="4"/>
            <w:vAlign w:val="center"/>
          </w:tcPr>
          <w:p>
            <w:pPr>
              <w:jc w:val="center"/>
              <w:rPr>
                <w:sz w:val="18"/>
                <w:szCs w:val="18"/>
              </w:rPr>
            </w:pPr>
          </w:p>
        </w:tc>
        <w:tc>
          <w:tcPr>
            <w:tcW w:w="2693" w:type="dxa"/>
            <w:gridSpan w:val="3"/>
            <w:vAlign w:val="center"/>
          </w:tcPr>
          <w:p>
            <w:pPr>
              <w:jc w:val="center"/>
              <w:rPr>
                <w:sz w:val="18"/>
                <w:szCs w:val="18"/>
              </w:rPr>
            </w:pPr>
          </w:p>
        </w:tc>
        <w:tc>
          <w:tcPr>
            <w:tcW w:w="2835" w:type="dxa"/>
            <w:gridSpan w:val="2"/>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w:t>
            </w:r>
          </w:p>
        </w:tc>
        <w:tc>
          <w:tcPr>
            <w:tcW w:w="1253" w:type="dxa"/>
            <w:vAlign w:val="center"/>
          </w:tcPr>
          <w:p>
            <w:pPr>
              <w:jc w:val="center"/>
              <w:rPr>
                <w:sz w:val="18"/>
                <w:szCs w:val="18"/>
              </w:rPr>
            </w:pPr>
          </w:p>
        </w:tc>
        <w:tc>
          <w:tcPr>
            <w:tcW w:w="2575" w:type="dxa"/>
            <w:gridSpan w:val="4"/>
            <w:vAlign w:val="center"/>
          </w:tcPr>
          <w:p>
            <w:pPr>
              <w:jc w:val="center"/>
              <w:rPr>
                <w:sz w:val="18"/>
                <w:szCs w:val="18"/>
              </w:rPr>
            </w:pPr>
          </w:p>
        </w:tc>
        <w:tc>
          <w:tcPr>
            <w:tcW w:w="2693" w:type="dxa"/>
            <w:gridSpan w:val="3"/>
            <w:vAlign w:val="center"/>
          </w:tcPr>
          <w:p>
            <w:pPr>
              <w:jc w:val="center"/>
              <w:rPr>
                <w:sz w:val="18"/>
                <w:szCs w:val="18"/>
              </w:rPr>
            </w:pPr>
          </w:p>
        </w:tc>
        <w:tc>
          <w:tcPr>
            <w:tcW w:w="2835" w:type="dxa"/>
            <w:gridSpan w:val="2"/>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31" w:type="dxa"/>
            <w:gridSpan w:val="11"/>
            <w:vAlign w:val="center"/>
          </w:tcPr>
          <w:p>
            <w:pPr>
              <w:jc w:val="center"/>
              <w:rPr>
                <w:sz w:val="28"/>
                <w:szCs w:val="28"/>
              </w:rPr>
            </w:pPr>
            <w:r>
              <w:rPr>
                <w:rFonts w:hint="eastAsia"/>
                <w:b/>
                <w:bCs/>
                <w:sz w:val="28"/>
                <w:szCs w:val="28"/>
              </w:rPr>
              <w:t>一级注册造价工程师一览表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5" w:type="dxa"/>
            <w:vAlign w:val="center"/>
          </w:tcPr>
          <w:p>
            <w:pPr>
              <w:jc w:val="center"/>
              <w:rPr>
                <w:szCs w:val="21"/>
              </w:rPr>
            </w:pPr>
            <w:r>
              <w:rPr>
                <w:rFonts w:hint="eastAsia"/>
                <w:szCs w:val="21"/>
              </w:rPr>
              <w:t>序号</w:t>
            </w:r>
          </w:p>
        </w:tc>
        <w:tc>
          <w:tcPr>
            <w:tcW w:w="1253" w:type="dxa"/>
            <w:vAlign w:val="center"/>
          </w:tcPr>
          <w:p>
            <w:pPr>
              <w:jc w:val="center"/>
              <w:rPr>
                <w:szCs w:val="21"/>
              </w:rPr>
            </w:pPr>
            <w:r>
              <w:rPr>
                <w:rFonts w:hint="eastAsia"/>
                <w:szCs w:val="21"/>
              </w:rPr>
              <w:t>姓名</w:t>
            </w:r>
          </w:p>
        </w:tc>
        <w:tc>
          <w:tcPr>
            <w:tcW w:w="1140" w:type="dxa"/>
            <w:gridSpan w:val="2"/>
            <w:vAlign w:val="center"/>
          </w:tcPr>
          <w:p>
            <w:pPr>
              <w:jc w:val="center"/>
              <w:rPr>
                <w:szCs w:val="21"/>
              </w:rPr>
            </w:pPr>
            <w:r>
              <w:rPr>
                <w:rFonts w:hint="eastAsia"/>
                <w:szCs w:val="21"/>
              </w:rPr>
              <w:t>学历</w:t>
            </w:r>
          </w:p>
        </w:tc>
        <w:tc>
          <w:tcPr>
            <w:tcW w:w="2235" w:type="dxa"/>
            <w:gridSpan w:val="3"/>
            <w:vAlign w:val="center"/>
          </w:tcPr>
          <w:p>
            <w:pPr>
              <w:jc w:val="center"/>
              <w:rPr>
                <w:szCs w:val="21"/>
              </w:rPr>
            </w:pPr>
            <w:r>
              <w:rPr>
                <w:rFonts w:hint="eastAsia"/>
                <w:szCs w:val="21"/>
              </w:rPr>
              <w:t>注册证号码</w:t>
            </w:r>
          </w:p>
        </w:tc>
        <w:tc>
          <w:tcPr>
            <w:tcW w:w="4728" w:type="dxa"/>
            <w:gridSpan w:val="4"/>
            <w:vAlign w:val="center"/>
          </w:tcPr>
          <w:p>
            <w:pPr>
              <w:jc w:val="center"/>
              <w:rPr>
                <w:szCs w:val="21"/>
              </w:rPr>
            </w:pPr>
            <w:r>
              <w:rPr>
                <w:rFonts w:hint="eastAsia"/>
                <w:szCs w:val="21"/>
              </w:rPr>
              <w:t>申报年度一个最具代表性</w:t>
            </w:r>
          </w:p>
          <w:p>
            <w:pPr>
              <w:jc w:val="center"/>
              <w:rPr>
                <w:szCs w:val="21"/>
              </w:rPr>
            </w:pPr>
            <w:r>
              <w:rPr>
                <w:rFonts w:hint="eastAsia"/>
                <w:szCs w:val="21"/>
              </w:rPr>
              <w:t>成果项目（名称、编号）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1</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2</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3</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4</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5</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6</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7</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8</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Align w:val="center"/>
          </w:tcPr>
          <w:p>
            <w:pPr>
              <w:jc w:val="center"/>
              <w:rPr>
                <w:sz w:val="18"/>
                <w:szCs w:val="18"/>
              </w:rPr>
            </w:pPr>
            <w:r>
              <w:rPr>
                <w:rFonts w:hint="eastAsia"/>
                <w:sz w:val="18"/>
                <w:szCs w:val="18"/>
              </w:rPr>
              <w:t>…</w:t>
            </w:r>
          </w:p>
        </w:tc>
        <w:tc>
          <w:tcPr>
            <w:tcW w:w="1253" w:type="dxa"/>
            <w:vAlign w:val="center"/>
          </w:tcPr>
          <w:p>
            <w:pPr>
              <w:jc w:val="center"/>
              <w:rPr>
                <w:sz w:val="18"/>
                <w:szCs w:val="18"/>
              </w:rPr>
            </w:pPr>
          </w:p>
        </w:tc>
        <w:tc>
          <w:tcPr>
            <w:tcW w:w="1140" w:type="dxa"/>
            <w:gridSpan w:val="2"/>
            <w:vAlign w:val="center"/>
          </w:tcPr>
          <w:p>
            <w:pPr>
              <w:jc w:val="center"/>
              <w:rPr>
                <w:sz w:val="18"/>
                <w:szCs w:val="18"/>
              </w:rPr>
            </w:pPr>
          </w:p>
        </w:tc>
        <w:tc>
          <w:tcPr>
            <w:tcW w:w="2235" w:type="dxa"/>
            <w:gridSpan w:val="3"/>
            <w:vAlign w:val="center"/>
          </w:tcPr>
          <w:p>
            <w:pPr>
              <w:jc w:val="center"/>
              <w:rPr>
                <w:sz w:val="18"/>
                <w:szCs w:val="18"/>
              </w:rPr>
            </w:pPr>
          </w:p>
        </w:tc>
        <w:tc>
          <w:tcPr>
            <w:tcW w:w="4728" w:type="dxa"/>
            <w:gridSpan w:val="4"/>
            <w:vAlign w:val="center"/>
          </w:tcPr>
          <w:p>
            <w:pPr>
              <w:jc w:val="center"/>
              <w:rPr>
                <w:sz w:val="18"/>
                <w:szCs w:val="18"/>
              </w:rPr>
            </w:pPr>
          </w:p>
        </w:tc>
      </w:tr>
    </w:tbl>
    <w:p>
      <w:pPr>
        <w:jc w:val="center"/>
      </w:pPr>
    </w:p>
    <w:p>
      <w:pPr>
        <w:jc w:val="center"/>
      </w:pPr>
      <w:r>
        <w:rPr>
          <w:rFonts w:hint="eastAsia" w:ascii="仿宋" w:hAnsi="仿宋" w:eastAsia="仿宋" w:cs="仿宋"/>
          <w:b/>
          <w:bCs/>
          <w:lang w:eastAsia="zh-CN"/>
        </w:rPr>
        <w:t>说明：本表按评价期两个年度分别填写。</w:t>
      </w:r>
    </w:p>
    <w:p>
      <w:pPr>
        <w:rPr>
          <w:rFonts w:hint="eastAsia" w:asciiTheme="majorEastAsia" w:hAnsiTheme="majorEastAsia" w:eastAsiaTheme="majorEastAsia" w:cstheme="minorEastAsia"/>
          <w:bCs/>
          <w:sz w:val="32"/>
          <w:szCs w:val="32"/>
          <w:lang w:eastAsia="zh-CN"/>
        </w:rPr>
      </w:pPr>
      <w:r>
        <w:rPr>
          <w:rFonts w:hint="eastAsia" w:asciiTheme="majorEastAsia" w:hAnsiTheme="majorEastAsia" w:eastAsiaTheme="majorEastAsia" w:cstheme="minorEastAsia"/>
          <w:bCs/>
          <w:sz w:val="32"/>
          <w:szCs w:val="32"/>
        </w:rPr>
        <w:t>附件3-</w:t>
      </w:r>
      <w:r>
        <w:rPr>
          <w:rFonts w:hint="eastAsia" w:asciiTheme="majorEastAsia" w:hAnsiTheme="majorEastAsia" w:eastAsiaTheme="majorEastAsia" w:cstheme="minorEastAsia"/>
          <w:bCs/>
          <w:sz w:val="32"/>
          <w:szCs w:val="32"/>
          <w:lang w:val="en-US" w:eastAsia="zh-CN"/>
        </w:rPr>
        <w:t>4</w:t>
      </w:r>
    </w:p>
    <w:p>
      <w:pPr>
        <w:jc w:val="center"/>
        <w:rPr>
          <w:sz w:val="36"/>
          <w:szCs w:val="36"/>
        </w:rPr>
      </w:pPr>
      <w:r>
        <w:rPr>
          <w:rFonts w:hint="eastAsia" w:asciiTheme="minorEastAsia" w:hAnsiTheme="minorEastAsia" w:cstheme="minorEastAsia"/>
          <w:b/>
          <w:bCs/>
          <w:sz w:val="36"/>
          <w:szCs w:val="36"/>
        </w:rPr>
        <w:t>评价期企业科技进步状况表</w:t>
      </w:r>
    </w:p>
    <w:tbl>
      <w:tblPr>
        <w:tblStyle w:val="4"/>
        <w:tblpPr w:leftFromText="180" w:rightFromText="180" w:vertAnchor="page" w:horzAnchor="page" w:tblpX="1652" w:tblpY="298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07"/>
        <w:gridCol w:w="911"/>
        <w:gridCol w:w="709"/>
        <w:gridCol w:w="141"/>
        <w:gridCol w:w="982"/>
        <w:gridCol w:w="190"/>
        <w:gridCol w:w="1110"/>
        <w:gridCol w:w="1231"/>
        <w:gridCol w:w="115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8755" w:type="dxa"/>
            <w:gridSpan w:val="11"/>
            <w:vAlign w:val="center"/>
          </w:tcPr>
          <w:p>
            <w:pPr>
              <w:ind w:firstLine="141" w:firstLineChars="50"/>
              <w:jc w:val="center"/>
              <w:rPr>
                <w:rFonts w:hint="eastAsia"/>
                <w:sz w:val="28"/>
                <w:szCs w:val="28"/>
              </w:rPr>
            </w:pPr>
            <w:r>
              <w:rPr>
                <w:rFonts w:hint="eastAsia"/>
                <w:b/>
                <w:bCs/>
                <w:sz w:val="28"/>
                <w:szCs w:val="28"/>
              </w:rPr>
              <w:t>企业创新状况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82" w:type="dxa"/>
            <w:gridSpan w:val="2"/>
            <w:vMerge w:val="restart"/>
            <w:vAlign w:val="center"/>
          </w:tcPr>
          <w:p>
            <w:pPr>
              <w:jc w:val="center"/>
              <w:rPr>
                <w:rFonts w:hint="eastAsia"/>
              </w:rPr>
            </w:pPr>
            <w:r>
              <w:rPr>
                <w:rFonts w:hint="eastAsia" w:asciiTheme="minorEastAsia" w:hAnsiTheme="minorEastAsia"/>
                <w:szCs w:val="21"/>
              </w:rPr>
              <w:t>企业创新规划与具体研发项目状况</w:t>
            </w:r>
          </w:p>
        </w:tc>
        <w:tc>
          <w:tcPr>
            <w:tcW w:w="911" w:type="dxa"/>
            <w:vMerge w:val="restart"/>
            <w:vAlign w:val="center"/>
          </w:tcPr>
          <w:p>
            <w:pPr>
              <w:ind w:firstLine="105" w:firstLineChars="50"/>
              <w:jc w:val="center"/>
              <w:rPr>
                <w:rFonts w:hint="eastAsia"/>
              </w:rPr>
            </w:pPr>
            <w:r>
              <w:rPr>
                <w:rFonts w:hint="eastAsia" w:asciiTheme="minorEastAsia" w:hAnsiTheme="minorEastAsia"/>
                <w:szCs w:val="21"/>
              </w:rPr>
              <w:t>是否具有创新规划</w:t>
            </w:r>
          </w:p>
        </w:tc>
        <w:tc>
          <w:tcPr>
            <w:tcW w:w="1832" w:type="dxa"/>
            <w:gridSpan w:val="3"/>
            <w:vMerge w:val="restart"/>
            <w:vAlign w:val="center"/>
          </w:tcPr>
          <w:p>
            <w:pPr>
              <w:ind w:firstLine="105" w:firstLineChars="50"/>
              <w:jc w:val="left"/>
              <w:rPr>
                <w:rFonts w:hint="eastAsia"/>
              </w:rPr>
            </w:pPr>
          </w:p>
        </w:tc>
        <w:tc>
          <w:tcPr>
            <w:tcW w:w="1300" w:type="dxa"/>
            <w:gridSpan w:val="2"/>
            <w:vMerge w:val="restart"/>
            <w:vAlign w:val="center"/>
          </w:tcPr>
          <w:p>
            <w:pPr>
              <w:jc w:val="center"/>
              <w:rPr>
                <w:rFonts w:hint="eastAsia"/>
              </w:rPr>
            </w:pPr>
            <w:r>
              <w:rPr>
                <w:rFonts w:hint="eastAsia" w:asciiTheme="minorEastAsia" w:hAnsiTheme="minorEastAsia"/>
                <w:szCs w:val="21"/>
                <w:lang w:eastAsia="zh-CN"/>
              </w:rPr>
              <w:t>研发</w:t>
            </w:r>
            <w:r>
              <w:rPr>
                <w:rFonts w:hint="eastAsia" w:asciiTheme="minorEastAsia" w:hAnsiTheme="minorEastAsia"/>
                <w:szCs w:val="21"/>
              </w:rPr>
              <w:t>费用</w:t>
            </w:r>
          </w:p>
          <w:p>
            <w:pPr>
              <w:jc w:val="center"/>
              <w:rPr>
                <w:rFonts w:hint="eastAsia" w:eastAsiaTheme="minorEastAsia"/>
                <w:lang w:eastAsia="zh-CN"/>
              </w:rPr>
            </w:pPr>
            <w:r>
              <w:rPr>
                <w:rFonts w:hint="eastAsia"/>
                <w:lang w:eastAsia="zh-CN"/>
              </w:rPr>
              <w:t>实际支出（万元）</w:t>
            </w:r>
          </w:p>
        </w:tc>
        <w:tc>
          <w:tcPr>
            <w:tcW w:w="1231" w:type="dxa"/>
            <w:vAlign w:val="center"/>
          </w:tcPr>
          <w:p>
            <w:pPr>
              <w:jc w:val="center"/>
              <w:rPr>
                <w:rFonts w:hint="eastAsia" w:eastAsiaTheme="minorEastAsia"/>
                <w:lang w:eastAsia="zh-CN"/>
              </w:rPr>
            </w:pPr>
            <w:r>
              <w:rPr>
                <w:rFonts w:hint="eastAsia"/>
                <w:lang w:eastAsia="zh-CN"/>
              </w:rPr>
              <w:t>第一年度</w:t>
            </w:r>
          </w:p>
        </w:tc>
        <w:tc>
          <w:tcPr>
            <w:tcW w:w="1159" w:type="dxa"/>
            <w:vAlign w:val="center"/>
          </w:tcPr>
          <w:p>
            <w:pPr>
              <w:jc w:val="center"/>
              <w:rPr>
                <w:rFonts w:hint="eastAsia" w:eastAsiaTheme="minorEastAsia"/>
                <w:lang w:eastAsia="zh-CN"/>
              </w:rPr>
            </w:pPr>
            <w:r>
              <w:rPr>
                <w:rFonts w:hint="eastAsia"/>
                <w:lang w:eastAsia="zh-CN"/>
              </w:rPr>
              <w:t>第二年度</w:t>
            </w:r>
          </w:p>
        </w:tc>
        <w:tc>
          <w:tcPr>
            <w:tcW w:w="1140" w:type="dxa"/>
            <w:vAlign w:val="center"/>
          </w:tcPr>
          <w:p>
            <w:pPr>
              <w:ind w:firstLine="105" w:firstLineChars="50"/>
              <w:jc w:val="center"/>
              <w:rPr>
                <w:rFonts w:hint="eastAsia" w:eastAsiaTheme="minorEastAsia"/>
                <w:lang w:eastAsia="zh-CN"/>
              </w:rPr>
            </w:pPr>
            <w:r>
              <w:rPr>
                <w:rFonts w:hint="eastAsia"/>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182" w:type="dxa"/>
            <w:gridSpan w:val="2"/>
            <w:vMerge w:val="continue"/>
            <w:vAlign w:val="center"/>
          </w:tcPr>
          <w:p>
            <w:pPr>
              <w:jc w:val="center"/>
            </w:pPr>
          </w:p>
        </w:tc>
        <w:tc>
          <w:tcPr>
            <w:tcW w:w="911" w:type="dxa"/>
            <w:vMerge w:val="continue"/>
            <w:vAlign w:val="center"/>
          </w:tcPr>
          <w:p>
            <w:pPr>
              <w:jc w:val="center"/>
            </w:pPr>
          </w:p>
        </w:tc>
        <w:tc>
          <w:tcPr>
            <w:tcW w:w="1832" w:type="dxa"/>
            <w:gridSpan w:val="3"/>
            <w:vMerge w:val="continue"/>
            <w:vAlign w:val="center"/>
          </w:tcPr>
          <w:p>
            <w:pPr>
              <w:jc w:val="center"/>
            </w:pPr>
          </w:p>
        </w:tc>
        <w:tc>
          <w:tcPr>
            <w:tcW w:w="1300" w:type="dxa"/>
            <w:gridSpan w:val="2"/>
            <w:vMerge w:val="continue"/>
            <w:vAlign w:val="center"/>
          </w:tcPr>
          <w:p>
            <w:pPr>
              <w:jc w:val="center"/>
              <w:rPr>
                <w:rFonts w:hint="eastAsia" w:eastAsiaTheme="minorEastAsia"/>
                <w:lang w:eastAsia="zh-CN"/>
              </w:rPr>
            </w:pPr>
          </w:p>
        </w:tc>
        <w:tc>
          <w:tcPr>
            <w:tcW w:w="1231" w:type="dxa"/>
            <w:vAlign w:val="center"/>
          </w:tcPr>
          <w:p>
            <w:pPr>
              <w:jc w:val="center"/>
            </w:pPr>
          </w:p>
        </w:tc>
        <w:tc>
          <w:tcPr>
            <w:tcW w:w="1159" w:type="dxa"/>
            <w:vAlign w:val="center"/>
          </w:tcPr>
          <w:p>
            <w:pPr>
              <w:jc w:val="center"/>
            </w:pPr>
          </w:p>
        </w:tc>
        <w:tc>
          <w:tcPr>
            <w:tcW w:w="114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82" w:type="dxa"/>
            <w:gridSpan w:val="2"/>
            <w:vMerge w:val="restart"/>
            <w:vAlign w:val="center"/>
          </w:tcPr>
          <w:p>
            <w:pPr>
              <w:jc w:val="center"/>
              <w:rPr>
                <w:rFonts w:hint="eastAsia"/>
              </w:rPr>
            </w:pPr>
            <w:r>
              <w:rPr>
                <w:rFonts w:hint="eastAsia" w:asciiTheme="minorEastAsia" w:hAnsiTheme="minorEastAsia"/>
                <w:szCs w:val="21"/>
              </w:rPr>
              <w:t>企业课题研究成果状况</w:t>
            </w:r>
          </w:p>
        </w:tc>
        <w:tc>
          <w:tcPr>
            <w:tcW w:w="911" w:type="dxa"/>
            <w:vMerge w:val="restart"/>
            <w:vAlign w:val="center"/>
          </w:tcPr>
          <w:p>
            <w:pPr>
              <w:jc w:val="center"/>
              <w:rPr>
                <w:rFonts w:asciiTheme="minorEastAsia" w:hAnsiTheme="minorEastAsia"/>
                <w:szCs w:val="21"/>
              </w:rPr>
            </w:pPr>
            <w:r>
              <w:rPr>
                <w:rFonts w:hint="eastAsia" w:asciiTheme="minorEastAsia" w:hAnsiTheme="minorEastAsia"/>
                <w:szCs w:val="21"/>
              </w:rPr>
              <w:t>课</w:t>
            </w:r>
          </w:p>
          <w:p>
            <w:pPr>
              <w:jc w:val="center"/>
              <w:rPr>
                <w:rFonts w:asciiTheme="minorEastAsia" w:hAnsiTheme="minorEastAsia"/>
                <w:szCs w:val="21"/>
              </w:rPr>
            </w:pPr>
            <w:r>
              <w:rPr>
                <w:rFonts w:hint="eastAsia" w:asciiTheme="minorEastAsia" w:hAnsiTheme="minorEastAsia"/>
                <w:szCs w:val="21"/>
              </w:rPr>
              <w:t>题</w:t>
            </w:r>
          </w:p>
          <w:p>
            <w:pPr>
              <w:jc w:val="center"/>
              <w:rPr>
                <w:rFonts w:asciiTheme="minorEastAsia" w:hAnsiTheme="minorEastAsia"/>
                <w:szCs w:val="21"/>
              </w:rPr>
            </w:pPr>
            <w:r>
              <w:rPr>
                <w:rFonts w:hint="eastAsia" w:asciiTheme="minorEastAsia" w:hAnsiTheme="minorEastAsia"/>
                <w:szCs w:val="21"/>
              </w:rPr>
              <w:t>名</w:t>
            </w:r>
          </w:p>
          <w:p>
            <w:pPr>
              <w:jc w:val="center"/>
              <w:rPr>
                <w:rFonts w:hint="eastAsia"/>
              </w:rPr>
            </w:pPr>
            <w:r>
              <w:rPr>
                <w:rFonts w:hint="eastAsia" w:asciiTheme="minorEastAsia" w:hAnsiTheme="minorEastAsia"/>
                <w:szCs w:val="21"/>
              </w:rPr>
              <w:t>称</w:t>
            </w:r>
          </w:p>
        </w:tc>
        <w:tc>
          <w:tcPr>
            <w:tcW w:w="3132" w:type="dxa"/>
            <w:gridSpan w:val="5"/>
            <w:vAlign w:val="center"/>
          </w:tcPr>
          <w:p>
            <w:pPr>
              <w:jc w:val="center"/>
              <w:rPr>
                <w:rFonts w:hint="eastAsia"/>
              </w:rPr>
            </w:pPr>
          </w:p>
        </w:tc>
        <w:tc>
          <w:tcPr>
            <w:tcW w:w="1231" w:type="dxa"/>
            <w:vMerge w:val="restart"/>
            <w:vAlign w:val="center"/>
          </w:tcPr>
          <w:p>
            <w:pPr>
              <w:jc w:val="center"/>
              <w:rPr>
                <w:rFonts w:hint="eastAsia" w:eastAsiaTheme="minorEastAsia"/>
                <w:lang w:eastAsia="zh-CN"/>
              </w:rPr>
            </w:pPr>
            <w:r>
              <w:rPr>
                <w:rFonts w:hint="eastAsia"/>
                <w:lang w:eastAsia="zh-CN"/>
              </w:rPr>
              <w:t>企业内部应用情况</w:t>
            </w:r>
          </w:p>
        </w:tc>
        <w:tc>
          <w:tcPr>
            <w:tcW w:w="2299" w:type="dxa"/>
            <w:gridSpan w:val="2"/>
            <w:vMerge w:val="restart"/>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1182" w:type="dxa"/>
            <w:gridSpan w:val="2"/>
            <w:vMerge w:val="continue"/>
            <w:vAlign w:val="center"/>
          </w:tcPr>
          <w:p>
            <w:pPr>
              <w:jc w:val="center"/>
              <w:rPr>
                <w:rFonts w:hint="eastAsia"/>
              </w:rPr>
            </w:pPr>
          </w:p>
        </w:tc>
        <w:tc>
          <w:tcPr>
            <w:tcW w:w="911" w:type="dxa"/>
            <w:vMerge w:val="continue"/>
            <w:vAlign w:val="center"/>
          </w:tcPr>
          <w:p>
            <w:pPr>
              <w:ind w:firstLine="105" w:firstLineChars="50"/>
              <w:jc w:val="left"/>
              <w:rPr>
                <w:rFonts w:hint="eastAsia"/>
              </w:rPr>
            </w:pPr>
          </w:p>
        </w:tc>
        <w:tc>
          <w:tcPr>
            <w:tcW w:w="3132" w:type="dxa"/>
            <w:gridSpan w:val="5"/>
            <w:vMerge w:val="restart"/>
            <w:vAlign w:val="center"/>
          </w:tcPr>
          <w:p>
            <w:pPr>
              <w:ind w:firstLine="105" w:firstLineChars="50"/>
              <w:jc w:val="left"/>
              <w:rPr>
                <w:rFonts w:hint="eastAsia"/>
              </w:rPr>
            </w:pPr>
          </w:p>
        </w:tc>
        <w:tc>
          <w:tcPr>
            <w:tcW w:w="1231" w:type="dxa"/>
            <w:vMerge w:val="continue"/>
            <w:vAlign w:val="center"/>
          </w:tcPr>
          <w:p>
            <w:pPr>
              <w:ind w:firstLine="105" w:firstLineChars="50"/>
              <w:jc w:val="left"/>
              <w:rPr>
                <w:rFonts w:hint="eastAsia"/>
              </w:rPr>
            </w:pPr>
          </w:p>
        </w:tc>
        <w:tc>
          <w:tcPr>
            <w:tcW w:w="2299" w:type="dxa"/>
            <w:gridSpan w:val="2"/>
            <w:vMerge w:val="continue"/>
            <w:vAlign w:val="center"/>
          </w:tcPr>
          <w:p>
            <w:pPr>
              <w:ind w:firstLine="105" w:firstLineChars="5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1182" w:type="dxa"/>
            <w:gridSpan w:val="2"/>
            <w:vMerge w:val="continue"/>
            <w:vAlign w:val="center"/>
          </w:tcPr>
          <w:p>
            <w:pPr>
              <w:jc w:val="center"/>
              <w:rPr>
                <w:rFonts w:hint="eastAsia"/>
              </w:rPr>
            </w:pPr>
          </w:p>
        </w:tc>
        <w:tc>
          <w:tcPr>
            <w:tcW w:w="911" w:type="dxa"/>
            <w:vMerge w:val="continue"/>
            <w:vAlign w:val="center"/>
          </w:tcPr>
          <w:p>
            <w:pPr>
              <w:ind w:firstLine="105" w:firstLineChars="50"/>
              <w:jc w:val="left"/>
              <w:rPr>
                <w:rFonts w:hint="eastAsia"/>
              </w:rPr>
            </w:pPr>
          </w:p>
        </w:tc>
        <w:tc>
          <w:tcPr>
            <w:tcW w:w="3132" w:type="dxa"/>
            <w:gridSpan w:val="5"/>
            <w:vMerge w:val="continue"/>
            <w:vAlign w:val="center"/>
          </w:tcPr>
          <w:p>
            <w:pPr>
              <w:ind w:firstLine="105" w:firstLineChars="50"/>
              <w:jc w:val="left"/>
              <w:rPr>
                <w:rFonts w:hint="eastAsia"/>
              </w:rPr>
            </w:pPr>
          </w:p>
        </w:tc>
        <w:tc>
          <w:tcPr>
            <w:tcW w:w="1231" w:type="dxa"/>
            <w:vMerge w:val="restart"/>
            <w:vAlign w:val="center"/>
          </w:tcPr>
          <w:p>
            <w:pPr>
              <w:jc w:val="center"/>
              <w:rPr>
                <w:rFonts w:hint="eastAsia" w:eastAsiaTheme="minorEastAsia"/>
                <w:lang w:eastAsia="zh-CN"/>
              </w:rPr>
            </w:pPr>
            <w:r>
              <w:rPr>
                <w:rFonts w:hint="eastAsia"/>
                <w:lang w:eastAsia="zh-CN"/>
              </w:rPr>
              <w:t>全行业推广情况</w:t>
            </w:r>
          </w:p>
        </w:tc>
        <w:tc>
          <w:tcPr>
            <w:tcW w:w="2299" w:type="dxa"/>
            <w:gridSpan w:val="2"/>
            <w:vMerge w:val="restart"/>
            <w:vAlign w:val="center"/>
          </w:tcPr>
          <w:p>
            <w:pPr>
              <w:ind w:firstLine="105" w:firstLineChars="5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82" w:type="dxa"/>
            <w:gridSpan w:val="2"/>
            <w:vMerge w:val="continue"/>
            <w:vAlign w:val="center"/>
          </w:tcPr>
          <w:p>
            <w:pPr>
              <w:jc w:val="center"/>
              <w:rPr>
                <w:rFonts w:hint="eastAsia"/>
              </w:rPr>
            </w:pPr>
          </w:p>
        </w:tc>
        <w:tc>
          <w:tcPr>
            <w:tcW w:w="911" w:type="dxa"/>
            <w:vMerge w:val="continue"/>
            <w:vAlign w:val="center"/>
          </w:tcPr>
          <w:p>
            <w:pPr>
              <w:ind w:firstLine="105" w:firstLineChars="50"/>
              <w:jc w:val="left"/>
              <w:rPr>
                <w:rFonts w:hint="eastAsia"/>
              </w:rPr>
            </w:pPr>
          </w:p>
        </w:tc>
        <w:tc>
          <w:tcPr>
            <w:tcW w:w="3132" w:type="dxa"/>
            <w:gridSpan w:val="5"/>
            <w:vAlign w:val="center"/>
          </w:tcPr>
          <w:p>
            <w:pPr>
              <w:ind w:firstLine="105" w:firstLineChars="50"/>
              <w:jc w:val="left"/>
              <w:rPr>
                <w:rFonts w:hint="eastAsia"/>
              </w:rPr>
            </w:pPr>
          </w:p>
        </w:tc>
        <w:tc>
          <w:tcPr>
            <w:tcW w:w="1231" w:type="dxa"/>
            <w:vMerge w:val="continue"/>
            <w:vAlign w:val="center"/>
          </w:tcPr>
          <w:p>
            <w:pPr>
              <w:ind w:firstLine="105" w:firstLineChars="50"/>
              <w:jc w:val="left"/>
              <w:rPr>
                <w:rFonts w:hint="eastAsia"/>
              </w:rPr>
            </w:pPr>
          </w:p>
        </w:tc>
        <w:tc>
          <w:tcPr>
            <w:tcW w:w="2299" w:type="dxa"/>
            <w:gridSpan w:val="2"/>
            <w:vMerge w:val="continue"/>
            <w:vAlign w:val="center"/>
          </w:tcPr>
          <w:p>
            <w:pPr>
              <w:ind w:firstLine="105" w:firstLineChars="5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55" w:type="dxa"/>
            <w:gridSpan w:val="11"/>
            <w:vAlign w:val="center"/>
          </w:tcPr>
          <w:p>
            <w:pPr>
              <w:jc w:val="center"/>
              <w:rPr>
                <w:rFonts w:hint="eastAsia" w:eastAsiaTheme="minorEastAsia"/>
                <w:b/>
                <w:sz w:val="28"/>
                <w:szCs w:val="28"/>
                <w:lang w:eastAsia="zh-CN"/>
              </w:rPr>
            </w:pPr>
            <w:r>
              <w:rPr>
                <w:rFonts w:hint="eastAsia"/>
                <w:b/>
                <w:sz w:val="28"/>
                <w:szCs w:val="28"/>
              </w:rPr>
              <w:t>数字化</w:t>
            </w:r>
            <w:r>
              <w:rPr>
                <w:rFonts w:hint="eastAsia"/>
                <w:b/>
                <w:sz w:val="28"/>
                <w:szCs w:val="28"/>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943" w:type="dxa"/>
            <w:gridSpan w:val="5"/>
            <w:vAlign w:val="center"/>
          </w:tcPr>
          <w:p>
            <w:pPr>
              <w:jc w:val="center"/>
            </w:pPr>
            <w:r>
              <w:rPr>
                <w:rFonts w:hint="eastAsia"/>
              </w:rPr>
              <w:t>企业门户网站名称</w:t>
            </w:r>
          </w:p>
        </w:tc>
        <w:tc>
          <w:tcPr>
            <w:tcW w:w="2282" w:type="dxa"/>
            <w:gridSpan w:val="3"/>
            <w:vAlign w:val="center"/>
          </w:tcPr>
          <w:p>
            <w:pPr>
              <w:jc w:val="left"/>
            </w:pPr>
          </w:p>
        </w:tc>
        <w:tc>
          <w:tcPr>
            <w:tcW w:w="3530" w:type="dxa"/>
            <w:gridSpan w:val="3"/>
            <w:vAlign w:val="center"/>
          </w:tcPr>
          <w:p>
            <w:pPr>
              <w:ind w:firstLine="105" w:firstLineChars="50"/>
              <w:jc w:val="left"/>
            </w:pPr>
            <w:r>
              <w:rPr>
                <w:rFonts w:hint="eastAsia"/>
              </w:rPr>
              <w:t>网站建立时间：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943" w:type="dxa"/>
            <w:gridSpan w:val="5"/>
            <w:vMerge w:val="restart"/>
            <w:vAlign w:val="center"/>
          </w:tcPr>
          <w:p>
            <w:pPr>
              <w:jc w:val="center"/>
            </w:pPr>
            <w:r>
              <w:rPr>
                <w:rFonts w:hint="eastAsia"/>
              </w:rPr>
              <w:t>企业研发、应用能对造价咨询业务流程、质量过程控制、价格信息采用、成果文件交付与归档，执业人员业绩考核等进行统一管理的系统软件</w:t>
            </w:r>
          </w:p>
        </w:tc>
        <w:tc>
          <w:tcPr>
            <w:tcW w:w="2282" w:type="dxa"/>
            <w:gridSpan w:val="3"/>
            <w:vAlign w:val="center"/>
          </w:tcPr>
          <w:p>
            <w:pPr>
              <w:ind w:firstLine="105" w:firstLineChars="50"/>
              <w:jc w:val="center"/>
            </w:pPr>
            <w:r>
              <w:rPr>
                <w:rFonts w:hint="eastAsia"/>
              </w:rPr>
              <w:t>应用的系统软件名称</w:t>
            </w:r>
          </w:p>
        </w:tc>
        <w:tc>
          <w:tcPr>
            <w:tcW w:w="3530" w:type="dxa"/>
            <w:gridSpan w:val="3"/>
            <w:vAlign w:val="center"/>
          </w:tcPr>
          <w:p>
            <w:pPr>
              <w:jc w:val="center"/>
            </w:pPr>
            <w:r>
              <w:rPr>
                <w:rFonts w:hint="eastAsia"/>
              </w:rPr>
              <w:t>自主或参与研发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43" w:type="dxa"/>
            <w:gridSpan w:val="5"/>
            <w:vMerge w:val="continue"/>
            <w:vAlign w:val="center"/>
          </w:tcPr>
          <w:p>
            <w:pPr>
              <w:jc w:val="center"/>
            </w:pPr>
          </w:p>
        </w:tc>
        <w:tc>
          <w:tcPr>
            <w:tcW w:w="2282" w:type="dxa"/>
            <w:gridSpan w:val="3"/>
            <w:vAlign w:val="center"/>
          </w:tcPr>
          <w:p>
            <w:pPr>
              <w:ind w:firstLine="105" w:firstLineChars="50"/>
              <w:jc w:val="center"/>
            </w:pPr>
          </w:p>
        </w:tc>
        <w:tc>
          <w:tcPr>
            <w:tcW w:w="3530" w:type="dxa"/>
            <w:gridSpan w:val="3"/>
            <w:vAlign w:val="center"/>
          </w:tcPr>
          <w:p>
            <w:pPr>
              <w:ind w:firstLine="105" w:firstLine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943" w:type="dxa"/>
            <w:gridSpan w:val="5"/>
            <w:vMerge w:val="continue"/>
            <w:vAlign w:val="center"/>
          </w:tcPr>
          <w:p>
            <w:pPr>
              <w:ind w:firstLine="105" w:firstLineChars="50"/>
              <w:jc w:val="center"/>
            </w:pPr>
          </w:p>
        </w:tc>
        <w:tc>
          <w:tcPr>
            <w:tcW w:w="2282" w:type="dxa"/>
            <w:gridSpan w:val="3"/>
            <w:vAlign w:val="center"/>
          </w:tcPr>
          <w:p>
            <w:pPr>
              <w:ind w:firstLine="105" w:firstLineChars="50"/>
              <w:jc w:val="center"/>
            </w:pPr>
          </w:p>
        </w:tc>
        <w:tc>
          <w:tcPr>
            <w:tcW w:w="3530" w:type="dxa"/>
            <w:gridSpan w:val="3"/>
            <w:vAlign w:val="center"/>
          </w:tcPr>
          <w:p>
            <w:pPr>
              <w:ind w:firstLine="105" w:firstLine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943" w:type="dxa"/>
            <w:gridSpan w:val="5"/>
            <w:vAlign w:val="center"/>
          </w:tcPr>
          <w:p>
            <w:pPr>
              <w:ind w:firstLine="105" w:firstLineChars="50"/>
              <w:jc w:val="center"/>
            </w:pPr>
            <w:r>
              <w:rPr>
                <w:rFonts w:hint="eastAsia"/>
              </w:rPr>
              <w:t>企业是否建立了具有本企业特色的数据平台</w:t>
            </w:r>
          </w:p>
        </w:tc>
        <w:tc>
          <w:tcPr>
            <w:tcW w:w="1172" w:type="dxa"/>
            <w:gridSpan w:val="2"/>
            <w:vAlign w:val="center"/>
          </w:tcPr>
          <w:p>
            <w:pPr>
              <w:ind w:firstLine="105" w:firstLineChars="50"/>
              <w:jc w:val="center"/>
            </w:pPr>
          </w:p>
        </w:tc>
        <w:tc>
          <w:tcPr>
            <w:tcW w:w="1110" w:type="dxa"/>
            <w:vAlign w:val="center"/>
          </w:tcPr>
          <w:p>
            <w:pPr>
              <w:ind w:firstLine="105" w:firstLineChars="50"/>
              <w:jc w:val="center"/>
              <w:rPr>
                <w:rFonts w:hint="eastAsia"/>
              </w:rPr>
            </w:pPr>
            <w:r>
              <w:rPr>
                <w:rFonts w:hint="eastAsia"/>
              </w:rPr>
              <w:t>平台运行状况</w:t>
            </w:r>
          </w:p>
        </w:tc>
        <w:tc>
          <w:tcPr>
            <w:tcW w:w="3530" w:type="dxa"/>
            <w:gridSpan w:val="3"/>
            <w:vAlign w:val="center"/>
          </w:tcPr>
          <w:p>
            <w:pPr>
              <w:ind w:firstLine="105" w:firstLine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943" w:type="dxa"/>
            <w:gridSpan w:val="5"/>
            <w:vAlign w:val="center"/>
          </w:tcPr>
          <w:p>
            <w:pPr>
              <w:ind w:firstLine="105" w:firstLineChars="50"/>
              <w:jc w:val="center"/>
            </w:pPr>
            <w:r>
              <w:rPr>
                <w:rFonts w:hint="eastAsia"/>
              </w:rPr>
              <w:t>企业是否建立了以BIM应用为核心的数据应用研发团队</w:t>
            </w:r>
          </w:p>
        </w:tc>
        <w:tc>
          <w:tcPr>
            <w:tcW w:w="1172" w:type="dxa"/>
            <w:gridSpan w:val="2"/>
            <w:vAlign w:val="center"/>
          </w:tcPr>
          <w:p>
            <w:pPr>
              <w:ind w:firstLine="105" w:firstLineChars="50"/>
              <w:jc w:val="center"/>
            </w:pPr>
          </w:p>
        </w:tc>
        <w:tc>
          <w:tcPr>
            <w:tcW w:w="1110" w:type="dxa"/>
            <w:vAlign w:val="center"/>
          </w:tcPr>
          <w:p>
            <w:pPr>
              <w:ind w:firstLine="105" w:firstLineChars="50"/>
              <w:jc w:val="center"/>
              <w:rPr>
                <w:rFonts w:hint="eastAsia"/>
              </w:rPr>
            </w:pPr>
            <w:r>
              <w:rPr>
                <w:rFonts w:hint="eastAsia"/>
              </w:rPr>
              <w:t>BIM应用状况</w:t>
            </w:r>
          </w:p>
        </w:tc>
        <w:tc>
          <w:tcPr>
            <w:tcW w:w="3530" w:type="dxa"/>
            <w:gridSpan w:val="3"/>
            <w:vAlign w:val="center"/>
          </w:tcPr>
          <w:p>
            <w:pPr>
              <w:ind w:firstLine="105" w:firstLineChar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55" w:type="dxa"/>
            <w:gridSpan w:val="11"/>
            <w:vAlign w:val="center"/>
          </w:tcPr>
          <w:p>
            <w:pPr>
              <w:jc w:val="center"/>
              <w:rPr>
                <w:rFonts w:hint="eastAsia"/>
                <w:b/>
                <w:sz w:val="28"/>
                <w:szCs w:val="28"/>
              </w:rPr>
            </w:pPr>
            <w:r>
              <w:rPr>
                <w:rFonts w:hint="eastAsia"/>
                <w:b/>
                <w:sz w:val="28"/>
                <w:szCs w:val="28"/>
              </w:rPr>
              <w:t>承担省级以上标准、规范、规程编制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75" w:type="dxa"/>
            <w:vMerge w:val="restart"/>
            <w:vAlign w:val="center"/>
          </w:tcPr>
          <w:p>
            <w:pPr>
              <w:jc w:val="center"/>
            </w:pPr>
            <w:r>
              <w:rPr>
                <w:rFonts w:hint="eastAsia"/>
              </w:rPr>
              <w:t>主编</w:t>
            </w:r>
          </w:p>
        </w:tc>
        <w:tc>
          <w:tcPr>
            <w:tcW w:w="2127" w:type="dxa"/>
            <w:gridSpan w:val="3"/>
            <w:vAlign w:val="center"/>
          </w:tcPr>
          <w:p>
            <w:pPr>
              <w:jc w:val="center"/>
            </w:pPr>
            <w:r>
              <w:rPr>
                <w:rFonts w:hint="eastAsia"/>
              </w:rPr>
              <w:t>标准名称</w:t>
            </w:r>
          </w:p>
        </w:tc>
        <w:tc>
          <w:tcPr>
            <w:tcW w:w="2423" w:type="dxa"/>
            <w:gridSpan w:val="4"/>
            <w:vAlign w:val="center"/>
          </w:tcPr>
          <w:p>
            <w:pPr>
              <w:jc w:val="center"/>
            </w:pPr>
            <w:r>
              <w:rPr>
                <w:rFonts w:hint="eastAsia"/>
              </w:rPr>
              <w:t>发布单位及文号</w:t>
            </w:r>
          </w:p>
        </w:tc>
        <w:tc>
          <w:tcPr>
            <w:tcW w:w="1231" w:type="dxa"/>
            <w:vAlign w:val="center"/>
          </w:tcPr>
          <w:p>
            <w:pPr>
              <w:jc w:val="center"/>
            </w:pPr>
            <w:r>
              <w:rPr>
                <w:rFonts w:hint="eastAsia"/>
              </w:rPr>
              <w:t>主编人</w:t>
            </w:r>
          </w:p>
        </w:tc>
        <w:tc>
          <w:tcPr>
            <w:tcW w:w="1159" w:type="dxa"/>
            <w:vAlign w:val="center"/>
          </w:tcPr>
          <w:p>
            <w:pPr>
              <w:jc w:val="center"/>
            </w:pPr>
            <w:r>
              <w:rPr>
                <w:rFonts w:hint="eastAsia"/>
              </w:rPr>
              <w:t>参编单位</w:t>
            </w:r>
          </w:p>
        </w:tc>
        <w:tc>
          <w:tcPr>
            <w:tcW w:w="1140"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75" w:type="dxa"/>
            <w:vMerge w:val="continue"/>
            <w:vAlign w:val="center"/>
          </w:tcPr>
          <w:p>
            <w:pPr>
              <w:jc w:val="center"/>
            </w:pPr>
          </w:p>
        </w:tc>
        <w:tc>
          <w:tcPr>
            <w:tcW w:w="2127" w:type="dxa"/>
            <w:gridSpan w:val="3"/>
            <w:vAlign w:val="center"/>
          </w:tcPr>
          <w:p>
            <w:pPr>
              <w:jc w:val="center"/>
            </w:pPr>
          </w:p>
        </w:tc>
        <w:tc>
          <w:tcPr>
            <w:tcW w:w="2423" w:type="dxa"/>
            <w:gridSpan w:val="4"/>
            <w:vAlign w:val="center"/>
          </w:tcPr>
          <w:p>
            <w:pPr>
              <w:jc w:val="center"/>
            </w:pPr>
          </w:p>
        </w:tc>
        <w:tc>
          <w:tcPr>
            <w:tcW w:w="1231" w:type="dxa"/>
            <w:vAlign w:val="center"/>
          </w:tcPr>
          <w:p>
            <w:pPr>
              <w:jc w:val="center"/>
            </w:pPr>
          </w:p>
        </w:tc>
        <w:tc>
          <w:tcPr>
            <w:tcW w:w="1159" w:type="dxa"/>
            <w:vAlign w:val="center"/>
          </w:tcPr>
          <w:p>
            <w:pPr>
              <w:jc w:val="center"/>
            </w:pPr>
          </w:p>
        </w:tc>
        <w:tc>
          <w:tcPr>
            <w:tcW w:w="114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75" w:type="dxa"/>
            <w:vMerge w:val="restart"/>
            <w:vAlign w:val="center"/>
          </w:tcPr>
          <w:p>
            <w:pPr>
              <w:jc w:val="center"/>
            </w:pPr>
            <w:r>
              <w:rPr>
                <w:rFonts w:hint="eastAsia"/>
              </w:rPr>
              <w:t>参编</w:t>
            </w:r>
          </w:p>
        </w:tc>
        <w:tc>
          <w:tcPr>
            <w:tcW w:w="2127" w:type="dxa"/>
            <w:gridSpan w:val="3"/>
            <w:vAlign w:val="center"/>
          </w:tcPr>
          <w:p>
            <w:pPr>
              <w:jc w:val="center"/>
            </w:pPr>
            <w:r>
              <w:rPr>
                <w:rFonts w:hint="eastAsia"/>
              </w:rPr>
              <w:t>标准名称</w:t>
            </w:r>
          </w:p>
        </w:tc>
        <w:tc>
          <w:tcPr>
            <w:tcW w:w="2423" w:type="dxa"/>
            <w:gridSpan w:val="4"/>
            <w:vAlign w:val="center"/>
          </w:tcPr>
          <w:p>
            <w:pPr>
              <w:jc w:val="center"/>
            </w:pPr>
            <w:r>
              <w:rPr>
                <w:rFonts w:hint="eastAsia"/>
              </w:rPr>
              <w:t>发布单位及文号</w:t>
            </w:r>
          </w:p>
        </w:tc>
        <w:tc>
          <w:tcPr>
            <w:tcW w:w="1231" w:type="dxa"/>
            <w:vAlign w:val="center"/>
          </w:tcPr>
          <w:p>
            <w:pPr>
              <w:jc w:val="center"/>
            </w:pPr>
            <w:r>
              <w:rPr>
                <w:rFonts w:hint="eastAsia"/>
              </w:rPr>
              <w:t>参编人</w:t>
            </w:r>
          </w:p>
        </w:tc>
        <w:tc>
          <w:tcPr>
            <w:tcW w:w="1159" w:type="dxa"/>
            <w:vAlign w:val="center"/>
          </w:tcPr>
          <w:p>
            <w:pPr>
              <w:jc w:val="center"/>
            </w:pPr>
            <w:r>
              <w:rPr>
                <w:rFonts w:hint="eastAsia"/>
              </w:rPr>
              <w:t>主编单位</w:t>
            </w:r>
          </w:p>
        </w:tc>
        <w:tc>
          <w:tcPr>
            <w:tcW w:w="1140"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vMerge w:val="continue"/>
            <w:vAlign w:val="center"/>
          </w:tcPr>
          <w:p>
            <w:pPr>
              <w:jc w:val="center"/>
            </w:pPr>
          </w:p>
        </w:tc>
        <w:tc>
          <w:tcPr>
            <w:tcW w:w="2127" w:type="dxa"/>
            <w:gridSpan w:val="3"/>
            <w:vAlign w:val="center"/>
          </w:tcPr>
          <w:p>
            <w:pPr>
              <w:jc w:val="center"/>
            </w:pPr>
          </w:p>
        </w:tc>
        <w:tc>
          <w:tcPr>
            <w:tcW w:w="2423" w:type="dxa"/>
            <w:gridSpan w:val="4"/>
            <w:vAlign w:val="center"/>
          </w:tcPr>
          <w:p>
            <w:pPr>
              <w:jc w:val="center"/>
            </w:pPr>
          </w:p>
        </w:tc>
        <w:tc>
          <w:tcPr>
            <w:tcW w:w="1231" w:type="dxa"/>
            <w:vAlign w:val="center"/>
          </w:tcPr>
          <w:p>
            <w:pPr>
              <w:jc w:val="center"/>
            </w:pPr>
          </w:p>
        </w:tc>
        <w:tc>
          <w:tcPr>
            <w:tcW w:w="1159" w:type="dxa"/>
            <w:vAlign w:val="center"/>
          </w:tcPr>
          <w:p>
            <w:pPr>
              <w:jc w:val="center"/>
            </w:pPr>
          </w:p>
        </w:tc>
        <w:tc>
          <w:tcPr>
            <w:tcW w:w="1140" w:type="dxa"/>
            <w:vAlign w:val="center"/>
          </w:tcPr>
          <w:p>
            <w:pPr>
              <w:jc w:val="center"/>
            </w:pPr>
          </w:p>
        </w:tc>
      </w:tr>
    </w:tbl>
    <w:p>
      <w:pPr>
        <w:rPr>
          <w:rFonts w:hint="eastAsia" w:asciiTheme="majorEastAsia" w:hAnsiTheme="majorEastAsia" w:eastAsiaTheme="majorEastAsia" w:cstheme="minorEastAsia"/>
          <w:bCs/>
          <w:sz w:val="32"/>
          <w:szCs w:val="32"/>
        </w:rPr>
      </w:pPr>
    </w:p>
    <w:p>
      <w:pPr>
        <w:jc w:val="center"/>
        <w:rPr>
          <w:rFonts w:hint="eastAsia" w:asciiTheme="minorEastAsia" w:hAnsiTheme="minorEastAsia" w:cstheme="minorEastAsia"/>
          <w:b/>
          <w:bCs/>
          <w:sz w:val="36"/>
          <w:szCs w:val="36"/>
        </w:rPr>
      </w:pPr>
    </w:p>
    <w:p>
      <w:pPr>
        <w:jc w:val="center"/>
        <w:rPr>
          <w:rFonts w:hint="eastAsia" w:asciiTheme="majorEastAsia" w:hAnsiTheme="majorEastAsia" w:eastAsiaTheme="minorEastAsia" w:cstheme="minorEastAsia"/>
          <w:bCs/>
          <w:sz w:val="32"/>
          <w:szCs w:val="32"/>
          <w:lang w:eastAsia="zh-CN"/>
        </w:rPr>
      </w:pPr>
      <w:r>
        <w:rPr>
          <w:rFonts w:hint="eastAsia" w:asciiTheme="minorEastAsia" w:hAnsiTheme="minorEastAsia" w:cstheme="minorEastAsia"/>
          <w:b/>
          <w:bCs/>
          <w:sz w:val="36"/>
          <w:szCs w:val="36"/>
        </w:rPr>
        <w:t>评价期企业科技进步状况表</w:t>
      </w:r>
      <w:r>
        <w:rPr>
          <w:rFonts w:hint="eastAsia" w:asciiTheme="minorEastAsia" w:hAnsiTheme="minorEastAsia" w:cstheme="minorEastAsia"/>
          <w:b/>
          <w:bCs/>
          <w:sz w:val="36"/>
          <w:szCs w:val="36"/>
          <w:lang w:eastAsia="zh-CN"/>
        </w:rPr>
        <w:t>（续）</w:t>
      </w:r>
    </w:p>
    <w:p>
      <w:pPr>
        <w:jc w:val="center"/>
        <w:rPr>
          <w:rFonts w:hint="eastAsia" w:ascii="仿宋" w:hAnsi="仿宋" w:eastAsia="仿宋" w:cs="仿宋"/>
          <w:b/>
          <w:sz w:val="24"/>
        </w:rPr>
      </w:pPr>
    </w:p>
    <w:tbl>
      <w:tblPr>
        <w:tblStyle w:val="4"/>
        <w:tblpPr w:leftFromText="180" w:rightFromText="180" w:vertAnchor="page" w:horzAnchor="page" w:tblpX="1842" w:tblpY="258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134"/>
        <w:gridCol w:w="1985"/>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55" w:type="dxa"/>
            <w:gridSpan w:val="6"/>
            <w:vAlign w:val="center"/>
          </w:tcPr>
          <w:p>
            <w:pPr>
              <w:jc w:val="center"/>
              <w:rPr>
                <w:rFonts w:hint="eastAsia"/>
                <w:b/>
                <w:sz w:val="28"/>
                <w:szCs w:val="28"/>
              </w:rPr>
            </w:pPr>
            <w:r>
              <w:rPr>
                <w:rFonts w:hint="eastAsia"/>
                <w:b/>
                <w:sz w:val="28"/>
                <w:szCs w:val="28"/>
              </w:rPr>
              <w:t>获奖情况（省级以上）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vAlign w:val="center"/>
          </w:tcPr>
          <w:p>
            <w:pPr>
              <w:jc w:val="center"/>
            </w:pPr>
            <w:r>
              <w:rPr>
                <w:rFonts w:hint="eastAsia"/>
              </w:rPr>
              <w:t>优秀服务成果奖</w:t>
            </w:r>
          </w:p>
        </w:tc>
        <w:tc>
          <w:tcPr>
            <w:tcW w:w="4253" w:type="dxa"/>
            <w:gridSpan w:val="3"/>
            <w:vAlign w:val="center"/>
          </w:tcPr>
          <w:p>
            <w:pPr>
              <w:jc w:val="center"/>
            </w:pPr>
            <w:r>
              <w:rPr>
                <w:rFonts w:hint="eastAsia"/>
              </w:rPr>
              <w:t>成果名称</w:t>
            </w:r>
          </w:p>
        </w:tc>
        <w:tc>
          <w:tcPr>
            <w:tcW w:w="1843" w:type="dxa"/>
            <w:vAlign w:val="center"/>
          </w:tcPr>
          <w:p>
            <w:pPr>
              <w:jc w:val="center"/>
            </w:pPr>
            <w:r>
              <w:rPr>
                <w:rFonts w:hint="eastAsia"/>
              </w:rPr>
              <w:t>基本内容</w:t>
            </w:r>
          </w:p>
        </w:tc>
        <w:tc>
          <w:tcPr>
            <w:tcW w:w="1984" w:type="dxa"/>
            <w:vAlign w:val="center"/>
          </w:tcPr>
          <w:p>
            <w:pPr>
              <w:jc w:val="center"/>
            </w:pPr>
            <w:r>
              <w:rPr>
                <w:rFonts w:hint="eastAsia"/>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jc w:val="center"/>
            </w:pPr>
          </w:p>
        </w:tc>
        <w:tc>
          <w:tcPr>
            <w:tcW w:w="4253" w:type="dxa"/>
            <w:gridSpan w:val="3"/>
            <w:vAlign w:val="center"/>
          </w:tcPr>
          <w:p>
            <w:pPr>
              <w:jc w:val="center"/>
            </w:pPr>
          </w:p>
        </w:tc>
        <w:tc>
          <w:tcPr>
            <w:tcW w:w="1843" w:type="dxa"/>
            <w:vAlign w:val="center"/>
          </w:tcPr>
          <w:p>
            <w:pPr>
              <w:jc w:val="center"/>
            </w:pPr>
          </w:p>
        </w:tc>
        <w:tc>
          <w:tcPr>
            <w:tcW w:w="198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jc w:val="center"/>
            </w:pPr>
          </w:p>
        </w:tc>
        <w:tc>
          <w:tcPr>
            <w:tcW w:w="4253" w:type="dxa"/>
            <w:gridSpan w:val="3"/>
            <w:tcBorders>
              <w:bottom w:val="single" w:color="auto" w:sz="4" w:space="0"/>
            </w:tcBorders>
            <w:vAlign w:val="center"/>
          </w:tcPr>
          <w:p>
            <w:pPr>
              <w:jc w:val="center"/>
            </w:pPr>
          </w:p>
        </w:tc>
        <w:tc>
          <w:tcPr>
            <w:tcW w:w="1843" w:type="dxa"/>
            <w:tcBorders>
              <w:bottom w:val="single" w:color="auto" w:sz="4" w:space="0"/>
            </w:tcBorders>
            <w:vAlign w:val="center"/>
          </w:tcPr>
          <w:p>
            <w:pPr>
              <w:jc w:val="center"/>
            </w:pPr>
          </w:p>
        </w:tc>
        <w:tc>
          <w:tcPr>
            <w:tcW w:w="1984"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restart"/>
            <w:vAlign w:val="center"/>
          </w:tcPr>
          <w:p>
            <w:pPr>
              <w:jc w:val="center"/>
            </w:pPr>
            <w:r>
              <w:rPr>
                <w:rFonts w:hint="eastAsia"/>
              </w:rPr>
              <w:t>优秀造价论文奖</w:t>
            </w:r>
          </w:p>
        </w:tc>
        <w:tc>
          <w:tcPr>
            <w:tcW w:w="4253" w:type="dxa"/>
            <w:gridSpan w:val="3"/>
            <w:vAlign w:val="center"/>
          </w:tcPr>
          <w:p>
            <w:pPr>
              <w:jc w:val="center"/>
            </w:pPr>
            <w:r>
              <w:rPr>
                <w:rFonts w:hint="eastAsia"/>
              </w:rPr>
              <w:t>论文名称</w:t>
            </w:r>
          </w:p>
        </w:tc>
        <w:tc>
          <w:tcPr>
            <w:tcW w:w="1843" w:type="dxa"/>
            <w:vAlign w:val="center"/>
          </w:tcPr>
          <w:p>
            <w:pPr>
              <w:jc w:val="center"/>
            </w:pPr>
            <w:r>
              <w:rPr>
                <w:rFonts w:hint="eastAsia"/>
              </w:rPr>
              <w:t>基本内容</w:t>
            </w:r>
          </w:p>
        </w:tc>
        <w:tc>
          <w:tcPr>
            <w:tcW w:w="1984" w:type="dxa"/>
            <w:vAlign w:val="center"/>
          </w:tcPr>
          <w:p>
            <w:pPr>
              <w:jc w:val="center"/>
            </w:pPr>
            <w:r>
              <w:rPr>
                <w:rFonts w:hint="eastAsia"/>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jc w:val="center"/>
            </w:pPr>
          </w:p>
        </w:tc>
        <w:tc>
          <w:tcPr>
            <w:tcW w:w="4253" w:type="dxa"/>
            <w:gridSpan w:val="3"/>
            <w:vAlign w:val="center"/>
          </w:tcPr>
          <w:p>
            <w:pPr>
              <w:jc w:val="center"/>
            </w:pPr>
          </w:p>
        </w:tc>
        <w:tc>
          <w:tcPr>
            <w:tcW w:w="1843" w:type="dxa"/>
            <w:vAlign w:val="center"/>
          </w:tcPr>
          <w:p>
            <w:pPr>
              <w:jc w:val="center"/>
            </w:pPr>
          </w:p>
        </w:tc>
        <w:tc>
          <w:tcPr>
            <w:tcW w:w="198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vAlign w:val="center"/>
          </w:tcPr>
          <w:p>
            <w:pPr>
              <w:jc w:val="center"/>
            </w:pPr>
          </w:p>
        </w:tc>
        <w:tc>
          <w:tcPr>
            <w:tcW w:w="4253" w:type="dxa"/>
            <w:gridSpan w:val="3"/>
            <w:vAlign w:val="center"/>
          </w:tcPr>
          <w:p>
            <w:pPr>
              <w:jc w:val="center"/>
            </w:pPr>
          </w:p>
        </w:tc>
        <w:tc>
          <w:tcPr>
            <w:tcW w:w="1843" w:type="dxa"/>
            <w:vAlign w:val="center"/>
          </w:tcPr>
          <w:p>
            <w:pPr>
              <w:jc w:val="center"/>
            </w:pPr>
          </w:p>
        </w:tc>
        <w:tc>
          <w:tcPr>
            <w:tcW w:w="198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755" w:type="dxa"/>
            <w:gridSpan w:val="6"/>
            <w:vAlign w:val="center"/>
          </w:tcPr>
          <w:p>
            <w:pPr>
              <w:jc w:val="center"/>
              <w:rPr>
                <w:sz w:val="28"/>
                <w:szCs w:val="28"/>
              </w:rPr>
            </w:pPr>
            <w:r>
              <w:rPr>
                <w:rFonts w:hint="eastAsia"/>
                <w:b/>
                <w:bCs/>
                <w:sz w:val="28"/>
                <w:szCs w:val="28"/>
              </w:rPr>
              <w:t>企业支持专家委工作状况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809" w:type="dxa"/>
            <w:gridSpan w:val="2"/>
            <w:vAlign w:val="center"/>
          </w:tcPr>
          <w:p>
            <w:pPr>
              <w:jc w:val="center"/>
            </w:pPr>
            <w:r>
              <w:rPr>
                <w:rFonts w:hint="eastAsia" w:asciiTheme="minorEastAsia" w:hAnsiTheme="minorEastAsia"/>
                <w:szCs w:val="21"/>
              </w:rPr>
              <w:t>工作项目</w:t>
            </w:r>
          </w:p>
        </w:tc>
        <w:tc>
          <w:tcPr>
            <w:tcW w:w="1134" w:type="dxa"/>
            <w:vAlign w:val="center"/>
          </w:tcPr>
          <w:p>
            <w:pPr>
              <w:jc w:val="center"/>
            </w:pPr>
            <w:r>
              <w:rPr>
                <w:rFonts w:hint="eastAsia" w:asciiTheme="minorEastAsia" w:hAnsiTheme="minorEastAsia"/>
                <w:szCs w:val="21"/>
              </w:rPr>
              <w:t>专家姓名</w:t>
            </w:r>
          </w:p>
        </w:tc>
        <w:tc>
          <w:tcPr>
            <w:tcW w:w="5812" w:type="dxa"/>
            <w:gridSpan w:val="3"/>
            <w:vAlign w:val="center"/>
          </w:tcPr>
          <w:p>
            <w:pPr>
              <w:jc w:val="center"/>
            </w:pPr>
            <w:r>
              <w:rPr>
                <w:rFonts w:hint="eastAsia" w:asciiTheme="minorEastAsia" w:hAnsiTheme="minorEastAsia"/>
                <w:szCs w:val="21"/>
                <w:lang w:eastAsia="zh-CN"/>
              </w:rPr>
              <w:t>活动名称及主要</w:t>
            </w:r>
            <w:r>
              <w:rPr>
                <w:rFonts w:hint="eastAsia" w:asciiTheme="minorEastAsia" w:hAnsiTheme="minorEastAsia"/>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restart"/>
            <w:vAlign w:val="center"/>
          </w:tcPr>
          <w:p>
            <w:pPr>
              <w:jc w:val="center"/>
            </w:pPr>
            <w:r>
              <w:rPr>
                <w:rFonts w:hint="eastAsia" w:asciiTheme="minorEastAsia" w:hAnsiTheme="minorEastAsia"/>
                <w:szCs w:val="21"/>
              </w:rPr>
              <w:t>专家在大讲堂讲座或承担继续教育授课情况</w:t>
            </w: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restart"/>
            <w:vAlign w:val="center"/>
          </w:tcPr>
          <w:p>
            <w:pPr>
              <w:jc w:val="center"/>
            </w:pPr>
            <w:r>
              <w:rPr>
                <w:rFonts w:hint="eastAsia" w:asciiTheme="minorEastAsia" w:hAnsiTheme="minorEastAsia"/>
                <w:szCs w:val="21"/>
              </w:rPr>
              <w:t>参与竞赛命题及其相关技术工作情况</w:t>
            </w: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restart"/>
            <w:vAlign w:val="center"/>
          </w:tcPr>
          <w:p>
            <w:pPr>
              <w:jc w:val="center"/>
            </w:pPr>
            <w:r>
              <w:rPr>
                <w:rFonts w:hint="eastAsia" w:asciiTheme="minorEastAsia" w:hAnsiTheme="minorEastAsia"/>
                <w:szCs w:val="21"/>
              </w:rPr>
              <w:t>参与评强评先、信用评价评审工作情况</w:t>
            </w: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restart"/>
            <w:vAlign w:val="center"/>
          </w:tcPr>
          <w:p>
            <w:pPr>
              <w:jc w:val="center"/>
              <w:rPr>
                <w:rFonts w:hint="eastAsia" w:eastAsiaTheme="minorEastAsia"/>
                <w:lang w:eastAsia="zh-CN"/>
              </w:rPr>
            </w:pPr>
            <w:r>
              <w:rPr>
                <w:rFonts w:hint="eastAsia"/>
                <w:lang w:eastAsia="zh-CN"/>
              </w:rPr>
              <w:t>参与面向全行业服务的其他活动情况</w:t>
            </w: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vAlign w:val="center"/>
          </w:tcPr>
          <w:p>
            <w:pPr>
              <w:jc w:val="center"/>
            </w:pPr>
          </w:p>
        </w:tc>
        <w:tc>
          <w:tcPr>
            <w:tcW w:w="1134" w:type="dxa"/>
            <w:vAlign w:val="center"/>
          </w:tcPr>
          <w:p>
            <w:pPr>
              <w:jc w:val="center"/>
            </w:pPr>
          </w:p>
        </w:tc>
        <w:tc>
          <w:tcPr>
            <w:tcW w:w="581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09" w:type="dxa"/>
            <w:gridSpan w:val="2"/>
            <w:vMerge w:val="continue"/>
            <w:tcBorders>
              <w:bottom w:val="single" w:color="auto" w:sz="4" w:space="0"/>
            </w:tcBorders>
            <w:vAlign w:val="center"/>
          </w:tcPr>
          <w:p>
            <w:pPr>
              <w:jc w:val="center"/>
            </w:pPr>
          </w:p>
        </w:tc>
        <w:tc>
          <w:tcPr>
            <w:tcW w:w="1134" w:type="dxa"/>
            <w:tcBorders>
              <w:bottom w:val="single" w:color="auto" w:sz="4" w:space="0"/>
            </w:tcBorders>
            <w:vAlign w:val="center"/>
          </w:tcPr>
          <w:p>
            <w:pPr>
              <w:jc w:val="center"/>
            </w:pPr>
          </w:p>
        </w:tc>
        <w:tc>
          <w:tcPr>
            <w:tcW w:w="5812" w:type="dxa"/>
            <w:gridSpan w:val="3"/>
            <w:tcBorders>
              <w:bottom w:val="single" w:color="auto" w:sz="4" w:space="0"/>
            </w:tcBorders>
            <w:vAlign w:val="center"/>
          </w:tcPr>
          <w:p>
            <w:pPr>
              <w:jc w:val="center"/>
            </w:pPr>
          </w:p>
        </w:tc>
      </w:tr>
    </w:tbl>
    <w:p>
      <w:pPr>
        <w:jc w:val="center"/>
        <w:rPr>
          <w:rFonts w:hint="eastAsia" w:ascii="仿宋" w:hAnsi="仿宋" w:eastAsia="仿宋" w:cs="仿宋"/>
          <w:b/>
          <w:sz w:val="24"/>
        </w:rPr>
      </w:pPr>
    </w:p>
    <w:p>
      <w:pPr>
        <w:jc w:val="center"/>
        <w:rPr>
          <w:rFonts w:hint="eastAsia" w:ascii="仿宋" w:hAnsi="仿宋" w:eastAsia="仿宋" w:cs="仿宋"/>
          <w:b/>
          <w:sz w:val="24"/>
        </w:rPr>
      </w:pPr>
    </w:p>
    <w:p>
      <w:pPr>
        <w:jc w:val="center"/>
        <w:rPr>
          <w:rFonts w:hint="eastAsia" w:asciiTheme="majorEastAsia" w:hAnsiTheme="majorEastAsia" w:eastAsiaTheme="majorEastAsia" w:cstheme="minorEastAsia"/>
          <w:bCs/>
          <w:sz w:val="21"/>
          <w:szCs w:val="21"/>
        </w:rPr>
      </w:pPr>
      <w:r>
        <w:rPr>
          <w:rFonts w:hint="eastAsia" w:ascii="仿宋" w:hAnsi="仿宋" w:eastAsia="仿宋" w:cs="仿宋"/>
          <w:b/>
          <w:sz w:val="21"/>
          <w:szCs w:val="21"/>
        </w:rPr>
        <w:t>说明：承担标准（含规范、规程）的编制及获奖情况须提供复印件</w:t>
      </w:r>
      <w:r>
        <w:rPr>
          <w:rFonts w:hint="eastAsia"/>
          <w:b/>
          <w:sz w:val="21"/>
          <w:szCs w:val="21"/>
        </w:rPr>
        <w:t>。</w:t>
      </w:r>
    </w:p>
    <w:p>
      <w:pPr>
        <w:jc w:val="center"/>
        <w:rPr>
          <w:rFonts w:hint="eastAsia" w:eastAsiaTheme="minorEastAsia"/>
          <w:lang w:eastAsia="zh-CN"/>
        </w:rPr>
      </w:pPr>
      <w:r>
        <w:rPr>
          <w:rFonts w:hint="eastAsia" w:asciiTheme="minorEastAsia" w:hAnsiTheme="minorEastAsia" w:cstheme="minorEastAsia"/>
          <w:b/>
          <w:bCs/>
          <w:sz w:val="36"/>
          <w:szCs w:val="36"/>
          <w:lang w:val="en-US" w:eastAsia="zh-CN"/>
        </w:rPr>
        <w:t xml:space="preserve"> </w:t>
      </w:r>
    </w:p>
    <w:p>
      <w:pPr>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附件3-</w:t>
      </w:r>
      <w:r>
        <w:rPr>
          <w:rFonts w:hint="eastAsia" w:asciiTheme="majorEastAsia" w:hAnsiTheme="majorEastAsia" w:eastAsiaTheme="majorEastAsia"/>
          <w:sz w:val="32"/>
          <w:szCs w:val="32"/>
          <w:lang w:val="en-US" w:eastAsia="zh-CN"/>
        </w:rPr>
        <w:t>5</w:t>
      </w:r>
    </w:p>
    <w:p>
      <w:pPr>
        <w:jc w:val="center"/>
        <w:rPr>
          <w:rFonts w:hint="eastAsia" w:asciiTheme="majorEastAsia" w:hAnsiTheme="majorEastAsia" w:eastAsiaTheme="majorEastAsia" w:cstheme="minorEastAsia"/>
          <w:bCs/>
          <w:sz w:val="32"/>
          <w:szCs w:val="32"/>
        </w:rPr>
      </w:pPr>
      <w:r>
        <w:rPr>
          <w:rFonts w:hint="eastAsia"/>
          <w:b/>
          <w:bCs/>
          <w:sz w:val="36"/>
          <w:szCs w:val="36"/>
        </w:rPr>
        <w:t>评价期企业品质状况表</w:t>
      </w:r>
    </w:p>
    <w:tbl>
      <w:tblPr>
        <w:tblStyle w:val="4"/>
        <w:tblpPr w:leftFromText="180" w:rightFromText="180" w:vertAnchor="page" w:horzAnchor="page" w:tblpX="1062" w:tblpY="309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513"/>
        <w:gridCol w:w="413"/>
        <w:gridCol w:w="1005"/>
        <w:gridCol w:w="1142"/>
        <w:gridCol w:w="546"/>
        <w:gridCol w:w="527"/>
        <w:gridCol w:w="336"/>
        <w:gridCol w:w="766"/>
        <w:gridCol w:w="108"/>
        <w:gridCol w:w="44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31" w:type="dxa"/>
            <w:gridSpan w:val="12"/>
            <w:vAlign w:val="center"/>
          </w:tcPr>
          <w:p>
            <w:pPr>
              <w:jc w:val="center"/>
              <w:rPr>
                <w:sz w:val="28"/>
                <w:szCs w:val="28"/>
              </w:rPr>
            </w:pPr>
            <w:r>
              <w:rPr>
                <w:rFonts w:hint="eastAsia"/>
                <w:b/>
                <w:bCs/>
                <w:sz w:val="28"/>
                <w:szCs w:val="28"/>
              </w:rPr>
              <w:t>信用评价状况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653" w:type="dxa"/>
            <w:gridSpan w:val="4"/>
            <w:vAlign w:val="center"/>
          </w:tcPr>
          <w:p>
            <w:pPr>
              <w:jc w:val="center"/>
            </w:pPr>
            <w:r>
              <w:rPr>
                <w:rFonts w:hint="eastAsia"/>
              </w:rPr>
              <w:t>评价机关</w:t>
            </w:r>
          </w:p>
        </w:tc>
        <w:tc>
          <w:tcPr>
            <w:tcW w:w="1688" w:type="dxa"/>
            <w:gridSpan w:val="2"/>
            <w:vAlign w:val="center"/>
          </w:tcPr>
          <w:p>
            <w:pPr>
              <w:jc w:val="center"/>
            </w:pPr>
            <w:r>
              <w:rPr>
                <w:rFonts w:hint="eastAsia"/>
              </w:rPr>
              <w:t>信用等级</w:t>
            </w:r>
          </w:p>
        </w:tc>
        <w:tc>
          <w:tcPr>
            <w:tcW w:w="1629" w:type="dxa"/>
            <w:gridSpan w:val="3"/>
            <w:vAlign w:val="center"/>
          </w:tcPr>
          <w:p>
            <w:pPr>
              <w:jc w:val="center"/>
            </w:pPr>
            <w:r>
              <w:rPr>
                <w:rFonts w:hint="eastAsia"/>
              </w:rPr>
              <w:t>证书号码</w:t>
            </w:r>
          </w:p>
        </w:tc>
        <w:tc>
          <w:tcPr>
            <w:tcW w:w="3061" w:type="dxa"/>
            <w:gridSpan w:val="3"/>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653" w:type="dxa"/>
            <w:gridSpan w:val="4"/>
            <w:vAlign w:val="center"/>
          </w:tcPr>
          <w:p>
            <w:pPr>
              <w:jc w:val="center"/>
            </w:pPr>
            <w:r>
              <w:rPr>
                <w:rFonts w:hint="eastAsia"/>
              </w:rPr>
              <w:t>中国建设工程造价管理协会</w:t>
            </w:r>
          </w:p>
        </w:tc>
        <w:tc>
          <w:tcPr>
            <w:tcW w:w="1688" w:type="dxa"/>
            <w:gridSpan w:val="2"/>
            <w:vAlign w:val="center"/>
          </w:tcPr>
          <w:p>
            <w:pPr>
              <w:jc w:val="center"/>
            </w:pPr>
          </w:p>
        </w:tc>
        <w:tc>
          <w:tcPr>
            <w:tcW w:w="1629" w:type="dxa"/>
            <w:gridSpan w:val="3"/>
            <w:vAlign w:val="center"/>
          </w:tcPr>
          <w:p>
            <w:pPr>
              <w:jc w:val="center"/>
            </w:pPr>
          </w:p>
        </w:tc>
        <w:tc>
          <w:tcPr>
            <w:tcW w:w="3061" w:type="dxa"/>
            <w:gridSpan w:val="3"/>
            <w:vAlign w:val="center"/>
          </w:tcPr>
          <w:p>
            <w:pPr>
              <w:jc w:val="center"/>
            </w:pPr>
            <w:r>
              <w:rPr>
                <w:rFonts w:hint="eastAsia"/>
              </w:rPr>
              <w:t>申报时须提供证书复印件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3653" w:type="dxa"/>
            <w:gridSpan w:val="4"/>
            <w:vAlign w:val="center"/>
          </w:tcPr>
          <w:p>
            <w:pPr>
              <w:jc w:val="center"/>
            </w:pPr>
            <w:r>
              <w:rPr>
                <w:rFonts w:hint="eastAsia"/>
              </w:rPr>
              <w:t>陕西省建设工程造价管理协会</w:t>
            </w:r>
          </w:p>
        </w:tc>
        <w:tc>
          <w:tcPr>
            <w:tcW w:w="1688" w:type="dxa"/>
            <w:gridSpan w:val="2"/>
            <w:vAlign w:val="center"/>
          </w:tcPr>
          <w:p>
            <w:pPr>
              <w:jc w:val="center"/>
            </w:pPr>
          </w:p>
        </w:tc>
        <w:tc>
          <w:tcPr>
            <w:tcW w:w="1629" w:type="dxa"/>
            <w:gridSpan w:val="3"/>
            <w:vAlign w:val="center"/>
          </w:tcPr>
          <w:p>
            <w:pPr>
              <w:jc w:val="center"/>
            </w:pPr>
          </w:p>
        </w:tc>
        <w:tc>
          <w:tcPr>
            <w:tcW w:w="3061" w:type="dxa"/>
            <w:gridSpan w:val="3"/>
            <w:vAlign w:val="center"/>
          </w:tcPr>
          <w:p>
            <w:pPr>
              <w:jc w:val="center"/>
            </w:pPr>
            <w:r>
              <w:rPr>
                <w:rFonts w:hint="eastAsia"/>
              </w:rPr>
              <w:t>申报时须提供证书复印件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031" w:type="dxa"/>
            <w:gridSpan w:val="12"/>
            <w:vAlign w:val="center"/>
          </w:tcPr>
          <w:p>
            <w:pPr>
              <w:jc w:val="center"/>
              <w:rPr>
                <w:sz w:val="28"/>
                <w:szCs w:val="28"/>
              </w:rPr>
            </w:pPr>
            <w:r>
              <w:rPr>
                <w:rFonts w:hint="eastAsia"/>
                <w:b/>
                <w:bCs/>
                <w:sz w:val="28"/>
                <w:szCs w:val="28"/>
              </w:rPr>
              <w:t>质量保证体系建设情况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restart"/>
            <w:tcBorders>
              <w:right w:val="single" w:color="auto" w:sz="4" w:space="0"/>
            </w:tcBorders>
            <w:vAlign w:val="center"/>
          </w:tcPr>
          <w:p>
            <w:pPr>
              <w:jc w:val="center"/>
            </w:pPr>
            <w:r>
              <w:rPr>
                <w:rFonts w:hint="eastAsia"/>
              </w:rPr>
              <w:t>质</w:t>
            </w:r>
          </w:p>
          <w:p>
            <w:pPr>
              <w:jc w:val="center"/>
            </w:pPr>
            <w:r>
              <w:rPr>
                <w:rFonts w:hint="eastAsia"/>
              </w:rPr>
              <w:t>量</w:t>
            </w:r>
          </w:p>
          <w:p>
            <w:pPr>
              <w:jc w:val="center"/>
            </w:pPr>
            <w:r>
              <w:rPr>
                <w:rFonts w:hint="eastAsia"/>
              </w:rPr>
              <w:t>保</w:t>
            </w:r>
          </w:p>
          <w:p>
            <w:pPr>
              <w:jc w:val="center"/>
            </w:pPr>
            <w:r>
              <w:rPr>
                <w:rFonts w:hint="eastAsia"/>
              </w:rPr>
              <w:t>证</w:t>
            </w:r>
          </w:p>
          <w:p>
            <w:pPr>
              <w:jc w:val="center"/>
            </w:pPr>
            <w:r>
              <w:rPr>
                <w:rFonts w:hint="eastAsia"/>
              </w:rPr>
              <w:t>机</w:t>
            </w:r>
          </w:p>
          <w:p>
            <w:pPr>
              <w:jc w:val="center"/>
            </w:pPr>
            <w:r>
              <w:rPr>
                <w:rFonts w:hint="eastAsia"/>
              </w:rPr>
              <w:t>构</w:t>
            </w:r>
          </w:p>
        </w:tc>
        <w:tc>
          <w:tcPr>
            <w:tcW w:w="1931" w:type="dxa"/>
            <w:gridSpan w:val="3"/>
            <w:vAlign w:val="center"/>
          </w:tcPr>
          <w:p>
            <w:pPr>
              <w:jc w:val="center"/>
            </w:pPr>
            <w:r>
              <w:rPr>
                <w:rFonts w:hint="eastAsia"/>
              </w:rPr>
              <w:t>负责人姓名</w:t>
            </w:r>
          </w:p>
        </w:tc>
        <w:tc>
          <w:tcPr>
            <w:tcW w:w="1142" w:type="dxa"/>
            <w:tcBorders>
              <w:left w:val="single" w:color="auto" w:sz="4" w:space="0"/>
            </w:tcBorders>
            <w:vAlign w:val="center"/>
          </w:tcPr>
          <w:p>
            <w:pPr>
              <w:jc w:val="center"/>
            </w:pPr>
            <w:r>
              <w:rPr>
                <w:rFonts w:hint="eastAsia"/>
              </w:rPr>
              <w:t>职务</w:t>
            </w:r>
          </w:p>
        </w:tc>
        <w:tc>
          <w:tcPr>
            <w:tcW w:w="1073" w:type="dxa"/>
            <w:gridSpan w:val="2"/>
            <w:tcBorders>
              <w:left w:val="single" w:color="auto" w:sz="4" w:space="0"/>
            </w:tcBorders>
            <w:vAlign w:val="center"/>
          </w:tcPr>
          <w:p>
            <w:pPr>
              <w:jc w:val="center"/>
            </w:pPr>
            <w:r>
              <w:rPr>
                <w:rFonts w:hint="eastAsia"/>
              </w:rPr>
              <w:t>学历</w:t>
            </w:r>
          </w:p>
        </w:tc>
        <w:tc>
          <w:tcPr>
            <w:tcW w:w="1210" w:type="dxa"/>
            <w:gridSpan w:val="3"/>
            <w:tcBorders>
              <w:left w:val="single" w:color="auto" w:sz="4" w:space="0"/>
            </w:tcBorders>
            <w:vAlign w:val="center"/>
          </w:tcPr>
          <w:p>
            <w:pPr>
              <w:jc w:val="center"/>
            </w:pPr>
            <w:r>
              <w:rPr>
                <w:rFonts w:hint="eastAsia"/>
              </w:rPr>
              <w:t>专业</w:t>
            </w:r>
          </w:p>
        </w:tc>
        <w:tc>
          <w:tcPr>
            <w:tcW w:w="2953" w:type="dxa"/>
            <w:gridSpan w:val="2"/>
            <w:tcBorders>
              <w:left w:val="single" w:color="auto" w:sz="4" w:space="0"/>
            </w:tcBorders>
            <w:vAlign w:val="center"/>
          </w:tcPr>
          <w:p>
            <w:pPr>
              <w:jc w:val="center"/>
            </w:pPr>
            <w:r>
              <w:rPr>
                <w:rFonts w:hint="eastAsia"/>
              </w:rPr>
              <w:t>注册造价工程师证书号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p>
        </w:tc>
        <w:tc>
          <w:tcPr>
            <w:tcW w:w="1142" w:type="dxa"/>
            <w:vAlign w:val="center"/>
          </w:tcPr>
          <w:p>
            <w:pPr>
              <w:jc w:val="center"/>
            </w:pPr>
          </w:p>
        </w:tc>
        <w:tc>
          <w:tcPr>
            <w:tcW w:w="1073" w:type="dxa"/>
            <w:gridSpan w:val="2"/>
            <w:vAlign w:val="center"/>
          </w:tcPr>
          <w:p>
            <w:pPr>
              <w:jc w:val="center"/>
            </w:pPr>
          </w:p>
        </w:tc>
        <w:tc>
          <w:tcPr>
            <w:tcW w:w="1210" w:type="dxa"/>
            <w:gridSpan w:val="3"/>
            <w:vAlign w:val="center"/>
          </w:tcPr>
          <w:p>
            <w:pPr>
              <w:jc w:val="center"/>
            </w:pPr>
          </w:p>
        </w:tc>
        <w:tc>
          <w:tcPr>
            <w:tcW w:w="29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p>
        </w:tc>
        <w:tc>
          <w:tcPr>
            <w:tcW w:w="1142" w:type="dxa"/>
            <w:vAlign w:val="center"/>
          </w:tcPr>
          <w:p>
            <w:pPr>
              <w:jc w:val="center"/>
            </w:pPr>
          </w:p>
        </w:tc>
        <w:tc>
          <w:tcPr>
            <w:tcW w:w="1073" w:type="dxa"/>
            <w:gridSpan w:val="2"/>
            <w:vAlign w:val="center"/>
          </w:tcPr>
          <w:p>
            <w:pPr>
              <w:jc w:val="center"/>
            </w:pPr>
          </w:p>
        </w:tc>
        <w:tc>
          <w:tcPr>
            <w:tcW w:w="1210" w:type="dxa"/>
            <w:gridSpan w:val="3"/>
            <w:vAlign w:val="center"/>
          </w:tcPr>
          <w:p>
            <w:pPr>
              <w:jc w:val="center"/>
            </w:pPr>
          </w:p>
        </w:tc>
        <w:tc>
          <w:tcPr>
            <w:tcW w:w="29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r>
              <w:rPr>
                <w:rFonts w:hint="eastAsia"/>
              </w:rPr>
              <w:t>工作人员姓名</w:t>
            </w:r>
          </w:p>
        </w:tc>
        <w:tc>
          <w:tcPr>
            <w:tcW w:w="1142" w:type="dxa"/>
            <w:vAlign w:val="center"/>
          </w:tcPr>
          <w:p>
            <w:pPr>
              <w:jc w:val="center"/>
            </w:pPr>
            <w:r>
              <w:rPr>
                <w:rFonts w:hint="eastAsia"/>
              </w:rPr>
              <w:t>职务</w:t>
            </w:r>
          </w:p>
        </w:tc>
        <w:tc>
          <w:tcPr>
            <w:tcW w:w="1073" w:type="dxa"/>
            <w:gridSpan w:val="2"/>
            <w:vAlign w:val="center"/>
          </w:tcPr>
          <w:p>
            <w:pPr>
              <w:jc w:val="center"/>
            </w:pPr>
            <w:r>
              <w:rPr>
                <w:rFonts w:hint="eastAsia"/>
              </w:rPr>
              <w:t>学历</w:t>
            </w:r>
          </w:p>
        </w:tc>
        <w:tc>
          <w:tcPr>
            <w:tcW w:w="1210" w:type="dxa"/>
            <w:gridSpan w:val="3"/>
            <w:vAlign w:val="center"/>
          </w:tcPr>
          <w:p>
            <w:pPr>
              <w:jc w:val="center"/>
            </w:pPr>
            <w:r>
              <w:rPr>
                <w:rFonts w:hint="eastAsia"/>
              </w:rPr>
              <w:t>专业</w:t>
            </w:r>
          </w:p>
        </w:tc>
        <w:tc>
          <w:tcPr>
            <w:tcW w:w="2953" w:type="dxa"/>
            <w:gridSpan w:val="2"/>
            <w:vAlign w:val="center"/>
          </w:tcPr>
          <w:p>
            <w:pPr>
              <w:jc w:val="center"/>
            </w:pPr>
            <w:r>
              <w:rPr>
                <w:rFonts w:hint="eastAsia"/>
              </w:rPr>
              <w:t>注册造价工程师证书号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p>
        </w:tc>
        <w:tc>
          <w:tcPr>
            <w:tcW w:w="1142" w:type="dxa"/>
            <w:vAlign w:val="center"/>
          </w:tcPr>
          <w:p>
            <w:pPr>
              <w:jc w:val="center"/>
            </w:pPr>
          </w:p>
        </w:tc>
        <w:tc>
          <w:tcPr>
            <w:tcW w:w="1073" w:type="dxa"/>
            <w:gridSpan w:val="2"/>
            <w:vAlign w:val="center"/>
          </w:tcPr>
          <w:p>
            <w:pPr>
              <w:jc w:val="center"/>
            </w:pPr>
          </w:p>
        </w:tc>
        <w:tc>
          <w:tcPr>
            <w:tcW w:w="1210" w:type="dxa"/>
            <w:gridSpan w:val="3"/>
            <w:vAlign w:val="center"/>
          </w:tcPr>
          <w:p>
            <w:pPr>
              <w:jc w:val="center"/>
            </w:pPr>
          </w:p>
        </w:tc>
        <w:tc>
          <w:tcPr>
            <w:tcW w:w="29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p>
        </w:tc>
        <w:tc>
          <w:tcPr>
            <w:tcW w:w="1142" w:type="dxa"/>
            <w:vAlign w:val="center"/>
          </w:tcPr>
          <w:p>
            <w:pPr>
              <w:jc w:val="center"/>
            </w:pPr>
          </w:p>
        </w:tc>
        <w:tc>
          <w:tcPr>
            <w:tcW w:w="1073" w:type="dxa"/>
            <w:gridSpan w:val="2"/>
            <w:vAlign w:val="center"/>
          </w:tcPr>
          <w:p>
            <w:pPr>
              <w:jc w:val="center"/>
            </w:pPr>
          </w:p>
        </w:tc>
        <w:tc>
          <w:tcPr>
            <w:tcW w:w="1210" w:type="dxa"/>
            <w:gridSpan w:val="3"/>
            <w:vAlign w:val="center"/>
          </w:tcPr>
          <w:p>
            <w:pPr>
              <w:jc w:val="center"/>
            </w:pPr>
          </w:p>
        </w:tc>
        <w:tc>
          <w:tcPr>
            <w:tcW w:w="29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722" w:type="dxa"/>
            <w:vMerge w:val="continue"/>
            <w:tcBorders>
              <w:right w:val="single" w:color="auto" w:sz="4" w:space="0"/>
            </w:tcBorders>
            <w:vAlign w:val="center"/>
          </w:tcPr>
          <w:p>
            <w:pPr>
              <w:jc w:val="center"/>
            </w:pPr>
          </w:p>
        </w:tc>
        <w:tc>
          <w:tcPr>
            <w:tcW w:w="1931" w:type="dxa"/>
            <w:gridSpan w:val="3"/>
            <w:vAlign w:val="center"/>
          </w:tcPr>
          <w:p>
            <w:pPr>
              <w:jc w:val="center"/>
            </w:pPr>
          </w:p>
        </w:tc>
        <w:tc>
          <w:tcPr>
            <w:tcW w:w="1142" w:type="dxa"/>
            <w:vAlign w:val="center"/>
          </w:tcPr>
          <w:p>
            <w:pPr>
              <w:jc w:val="center"/>
            </w:pPr>
          </w:p>
        </w:tc>
        <w:tc>
          <w:tcPr>
            <w:tcW w:w="1073" w:type="dxa"/>
            <w:gridSpan w:val="2"/>
            <w:vAlign w:val="center"/>
          </w:tcPr>
          <w:p>
            <w:pPr>
              <w:jc w:val="center"/>
            </w:pPr>
          </w:p>
        </w:tc>
        <w:tc>
          <w:tcPr>
            <w:tcW w:w="1210" w:type="dxa"/>
            <w:gridSpan w:val="3"/>
            <w:vAlign w:val="center"/>
          </w:tcPr>
          <w:p>
            <w:pPr>
              <w:jc w:val="center"/>
            </w:pPr>
          </w:p>
        </w:tc>
        <w:tc>
          <w:tcPr>
            <w:tcW w:w="29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648" w:type="dxa"/>
            <w:gridSpan w:val="3"/>
            <w:vAlign w:val="center"/>
          </w:tcPr>
          <w:p>
            <w:pPr>
              <w:jc w:val="center"/>
            </w:pPr>
            <w:r>
              <w:rPr>
                <w:rFonts w:hint="eastAsia"/>
              </w:rPr>
              <w:t>质量保证制度概要</w:t>
            </w:r>
          </w:p>
        </w:tc>
        <w:tc>
          <w:tcPr>
            <w:tcW w:w="738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648" w:type="dxa"/>
            <w:gridSpan w:val="3"/>
            <w:vMerge w:val="restart"/>
            <w:vAlign w:val="center"/>
          </w:tcPr>
          <w:p>
            <w:pPr>
              <w:jc w:val="center"/>
            </w:pPr>
            <w:r>
              <w:rPr>
                <w:rFonts w:hint="eastAsia"/>
              </w:rPr>
              <w:t>质量保证体系认证</w:t>
            </w:r>
          </w:p>
        </w:tc>
        <w:tc>
          <w:tcPr>
            <w:tcW w:w="2147" w:type="dxa"/>
            <w:gridSpan w:val="2"/>
            <w:vAlign w:val="center"/>
          </w:tcPr>
          <w:p>
            <w:pPr>
              <w:jc w:val="center"/>
            </w:pPr>
            <w:r>
              <w:rPr>
                <w:rFonts w:hint="eastAsia"/>
              </w:rPr>
              <w:t>认证机构</w:t>
            </w:r>
          </w:p>
        </w:tc>
        <w:tc>
          <w:tcPr>
            <w:tcW w:w="2731" w:type="dxa"/>
            <w:gridSpan w:val="6"/>
            <w:vAlign w:val="center"/>
          </w:tcPr>
          <w:p>
            <w:pPr>
              <w:jc w:val="center"/>
            </w:pPr>
            <w:r>
              <w:rPr>
                <w:rFonts w:hint="eastAsia"/>
              </w:rPr>
              <w:t>认证证书号码及有效期</w:t>
            </w:r>
          </w:p>
        </w:tc>
        <w:tc>
          <w:tcPr>
            <w:tcW w:w="2505" w:type="dxa"/>
            <w:vAlign w:val="center"/>
          </w:tcPr>
          <w:p>
            <w:pPr>
              <w:jc w:val="center"/>
            </w:pPr>
            <w:r>
              <w:rPr>
                <w:rFonts w:hint="eastAsia"/>
              </w:rPr>
              <w:t>认证复核时间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648" w:type="dxa"/>
            <w:gridSpan w:val="3"/>
            <w:vMerge w:val="continue"/>
            <w:vAlign w:val="center"/>
          </w:tcPr>
          <w:p>
            <w:pPr>
              <w:jc w:val="center"/>
            </w:pPr>
          </w:p>
        </w:tc>
        <w:tc>
          <w:tcPr>
            <w:tcW w:w="2147" w:type="dxa"/>
            <w:gridSpan w:val="2"/>
            <w:vAlign w:val="center"/>
          </w:tcPr>
          <w:p>
            <w:pPr>
              <w:jc w:val="center"/>
            </w:pPr>
          </w:p>
        </w:tc>
        <w:tc>
          <w:tcPr>
            <w:tcW w:w="2731" w:type="dxa"/>
            <w:gridSpan w:val="6"/>
            <w:vAlign w:val="center"/>
          </w:tcPr>
          <w:p>
            <w:pPr>
              <w:jc w:val="center"/>
            </w:pPr>
          </w:p>
        </w:tc>
        <w:tc>
          <w:tcPr>
            <w:tcW w:w="250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031" w:type="dxa"/>
            <w:gridSpan w:val="12"/>
            <w:vAlign w:val="center"/>
          </w:tcPr>
          <w:p>
            <w:pPr>
              <w:jc w:val="center"/>
              <w:rPr>
                <w:sz w:val="28"/>
                <w:szCs w:val="28"/>
              </w:rPr>
            </w:pPr>
            <w:r>
              <w:rPr>
                <w:rFonts w:hint="eastAsia"/>
                <w:b/>
                <w:bCs/>
                <w:sz w:val="28"/>
                <w:szCs w:val="28"/>
              </w:rPr>
              <w:t>评价</w:t>
            </w:r>
            <w:r>
              <w:rPr>
                <w:rFonts w:hint="eastAsia"/>
                <w:b/>
                <w:bCs/>
                <w:sz w:val="28"/>
                <w:szCs w:val="28"/>
                <w:lang w:eastAsia="zh-CN"/>
              </w:rPr>
              <w:t>期</w:t>
            </w:r>
            <w:r>
              <w:rPr>
                <w:rFonts w:hint="eastAsia"/>
                <w:b/>
                <w:bCs/>
                <w:sz w:val="28"/>
                <w:szCs w:val="28"/>
              </w:rPr>
              <w:t>市场行为状况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Align w:val="center"/>
          </w:tcPr>
          <w:p>
            <w:pPr>
              <w:jc w:val="center"/>
            </w:pPr>
          </w:p>
        </w:tc>
        <w:tc>
          <w:tcPr>
            <w:tcW w:w="3969" w:type="dxa"/>
            <w:gridSpan w:val="6"/>
            <w:vAlign w:val="center"/>
          </w:tcPr>
          <w:p>
            <w:pPr>
              <w:jc w:val="center"/>
            </w:pPr>
            <w:r>
              <w:rPr>
                <w:rFonts w:hint="eastAsia"/>
              </w:rPr>
              <w:t>第一年度</w:t>
            </w:r>
          </w:p>
        </w:tc>
        <w:tc>
          <w:tcPr>
            <w:tcW w:w="3827" w:type="dxa"/>
            <w:gridSpan w:val="4"/>
            <w:vAlign w:val="center"/>
          </w:tcPr>
          <w:p>
            <w:pPr>
              <w:jc w:val="center"/>
            </w:pPr>
            <w:r>
              <w:rPr>
                <w:rFonts w:hint="eastAsia"/>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restart"/>
            <w:vAlign w:val="center"/>
          </w:tcPr>
          <w:p>
            <w:pPr>
              <w:jc w:val="center"/>
              <w:rPr>
                <w:sz w:val="18"/>
                <w:szCs w:val="18"/>
              </w:rPr>
            </w:pPr>
            <w:r>
              <w:rPr>
                <w:rFonts w:hint="eastAsia" w:asciiTheme="minorEastAsia" w:hAnsiTheme="minorEastAsia"/>
                <w:sz w:val="18"/>
                <w:szCs w:val="18"/>
              </w:rPr>
              <w:t>在市级以上住建部门开展的执法检查中受表扬情况</w:t>
            </w:r>
          </w:p>
        </w:tc>
        <w:tc>
          <w:tcPr>
            <w:tcW w:w="3969" w:type="dxa"/>
            <w:gridSpan w:val="6"/>
            <w:vAlign w:val="center"/>
          </w:tcPr>
          <w:p>
            <w:pPr>
              <w:jc w:val="center"/>
              <w:rPr>
                <w:color w:val="FF0000"/>
                <w:sz w:val="18"/>
                <w:szCs w:val="18"/>
              </w:rPr>
            </w:pPr>
          </w:p>
        </w:tc>
        <w:tc>
          <w:tcPr>
            <w:tcW w:w="3827" w:type="dxa"/>
            <w:gridSpan w:val="4"/>
            <w:vAlign w:val="center"/>
          </w:tcPr>
          <w:p>
            <w:pPr>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continue"/>
            <w:vAlign w:val="center"/>
          </w:tcPr>
          <w:p>
            <w:pPr>
              <w:jc w:val="center"/>
            </w:pP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restart"/>
            <w:vAlign w:val="center"/>
          </w:tcPr>
          <w:p>
            <w:pPr>
              <w:jc w:val="center"/>
            </w:pPr>
            <w:r>
              <w:rPr>
                <w:rFonts w:hint="eastAsia" w:asciiTheme="minorEastAsia" w:hAnsiTheme="minorEastAsia"/>
                <w:sz w:val="18"/>
                <w:szCs w:val="18"/>
              </w:rPr>
              <w:t>在市级以上住建部门开展的执法检查中受批评情况</w:t>
            </w: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continue"/>
            <w:vAlign w:val="center"/>
          </w:tcPr>
          <w:p>
            <w:pPr>
              <w:jc w:val="center"/>
            </w:pP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restart"/>
            <w:vAlign w:val="center"/>
          </w:tcPr>
          <w:p>
            <w:pPr>
              <w:jc w:val="center"/>
            </w:pPr>
            <w:r>
              <w:rPr>
                <w:rFonts w:hint="eastAsia" w:asciiTheme="minorEastAsia" w:hAnsiTheme="minorEastAsia"/>
                <w:sz w:val="18"/>
                <w:szCs w:val="18"/>
              </w:rPr>
              <w:t>在省造价协会组织的自律检查中受表扬情况</w:t>
            </w: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continue"/>
            <w:vAlign w:val="center"/>
          </w:tcPr>
          <w:p>
            <w:pPr>
              <w:jc w:val="center"/>
            </w:pP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restart"/>
            <w:vAlign w:val="center"/>
          </w:tcPr>
          <w:p>
            <w:pPr>
              <w:jc w:val="center"/>
            </w:pPr>
            <w:r>
              <w:rPr>
                <w:rFonts w:hint="eastAsia" w:asciiTheme="minorEastAsia" w:hAnsiTheme="minorEastAsia"/>
                <w:sz w:val="18"/>
                <w:szCs w:val="18"/>
              </w:rPr>
              <w:t>在省造价协会组织的自律检查中受批评情况</w:t>
            </w:r>
          </w:p>
        </w:tc>
        <w:tc>
          <w:tcPr>
            <w:tcW w:w="3969" w:type="dxa"/>
            <w:gridSpan w:val="6"/>
            <w:vAlign w:val="center"/>
          </w:tcPr>
          <w:p>
            <w:pPr>
              <w:jc w:val="center"/>
            </w:pPr>
          </w:p>
        </w:tc>
        <w:tc>
          <w:tcPr>
            <w:tcW w:w="382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235" w:type="dxa"/>
            <w:gridSpan w:val="2"/>
            <w:vMerge w:val="continue"/>
            <w:vAlign w:val="center"/>
          </w:tcPr>
          <w:p>
            <w:pPr>
              <w:jc w:val="center"/>
            </w:pPr>
          </w:p>
        </w:tc>
        <w:tc>
          <w:tcPr>
            <w:tcW w:w="3969" w:type="dxa"/>
            <w:gridSpan w:val="6"/>
            <w:vAlign w:val="center"/>
          </w:tcPr>
          <w:p>
            <w:pPr>
              <w:jc w:val="center"/>
            </w:pPr>
          </w:p>
        </w:tc>
        <w:tc>
          <w:tcPr>
            <w:tcW w:w="3827" w:type="dxa"/>
            <w:gridSpan w:val="4"/>
            <w:vAlign w:val="center"/>
          </w:tcPr>
          <w:p>
            <w:pPr>
              <w:jc w:val="center"/>
            </w:pPr>
          </w:p>
        </w:tc>
      </w:tr>
    </w:tbl>
    <w:p>
      <w:pPr>
        <w:jc w:val="center"/>
        <w:rPr>
          <w:rFonts w:hint="eastAsia"/>
          <w:b/>
          <w:bCs/>
          <w:sz w:val="36"/>
          <w:szCs w:val="36"/>
          <w:lang w:eastAsia="zh-CN"/>
        </w:rPr>
      </w:pPr>
    </w:p>
    <w:p>
      <w:pPr>
        <w:jc w:val="center"/>
        <w:rPr>
          <w:rFonts w:hint="eastAsia" w:asciiTheme="majorEastAsia" w:hAnsiTheme="majorEastAsia" w:eastAsiaTheme="minorEastAsia" w:cstheme="minorEastAsia"/>
          <w:bCs/>
          <w:sz w:val="32"/>
          <w:szCs w:val="32"/>
          <w:lang w:eastAsia="zh-CN"/>
        </w:rPr>
      </w:pPr>
      <w:r>
        <w:rPr>
          <w:rFonts w:hint="eastAsia"/>
          <w:b/>
          <w:bCs/>
          <w:sz w:val="36"/>
          <w:szCs w:val="36"/>
        </w:rPr>
        <w:t>评价期企业品质状况表</w:t>
      </w:r>
      <w:r>
        <w:rPr>
          <w:rFonts w:hint="eastAsia"/>
          <w:b/>
          <w:bCs/>
          <w:sz w:val="36"/>
          <w:szCs w:val="36"/>
          <w:lang w:eastAsia="zh-CN"/>
        </w:rPr>
        <w:t>（续）</w:t>
      </w:r>
    </w:p>
    <w:p>
      <w:pPr>
        <w:jc w:val="center"/>
        <w:rPr>
          <w:sz w:val="36"/>
          <w:szCs w:val="36"/>
        </w:rPr>
      </w:pPr>
    </w:p>
    <w:tbl>
      <w:tblPr>
        <w:tblStyle w:val="4"/>
        <w:tblpPr w:leftFromText="180" w:rightFromText="180" w:vertAnchor="page" w:horzAnchor="page" w:tblpX="1172" w:tblpY="3237"/>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979"/>
        <w:gridCol w:w="978"/>
        <w:gridCol w:w="978"/>
        <w:gridCol w:w="978"/>
        <w:gridCol w:w="978"/>
        <w:gridCol w:w="978"/>
        <w:gridCol w:w="978"/>
        <w:gridCol w:w="79"/>
        <w:gridCol w:w="899"/>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782" w:type="dxa"/>
            <w:gridSpan w:val="11"/>
            <w:vAlign w:val="center"/>
          </w:tcPr>
          <w:p>
            <w:pPr>
              <w:jc w:val="center"/>
              <w:rPr>
                <w:rFonts w:hint="default" w:eastAsiaTheme="minorEastAsia"/>
                <w:b/>
                <w:bCs/>
                <w:sz w:val="28"/>
                <w:szCs w:val="28"/>
                <w:lang w:val="en-US" w:eastAsia="zh-CN"/>
              </w:rPr>
            </w:pPr>
            <w:r>
              <w:rPr>
                <w:rFonts w:hint="eastAsia"/>
                <w:b/>
                <w:bCs/>
                <w:sz w:val="28"/>
                <w:szCs w:val="28"/>
                <w:lang w:val="en-US" w:eastAsia="zh-CN"/>
              </w:rPr>
              <w:t>服务成果质量用户评价情况</w:t>
            </w:r>
          </w:p>
          <w:p>
            <w:pPr>
              <w:jc w:val="center"/>
              <w:rPr>
                <w:b/>
                <w:bCs/>
                <w:sz w:val="28"/>
                <w:szCs w:val="28"/>
              </w:rPr>
            </w:pPr>
            <w:r>
              <w:rPr>
                <w:rFonts w:hint="eastAsia"/>
                <w:b/>
                <w:bCs/>
                <w:sz w:val="28"/>
                <w:szCs w:val="28"/>
              </w:rPr>
              <w:t>服务成果质量用户评价情况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1958" w:type="dxa"/>
            <w:gridSpan w:val="2"/>
            <w:vAlign w:val="center"/>
          </w:tcPr>
          <w:p>
            <w:pPr>
              <w:jc w:val="center"/>
              <w:rPr>
                <w:b/>
                <w:bCs/>
                <w:sz w:val="24"/>
              </w:rPr>
            </w:pPr>
            <w:r>
              <w:rPr>
                <w:rFonts w:hint="eastAsia"/>
              </w:rPr>
              <w:t>服务成果总数（个）</w:t>
            </w:r>
          </w:p>
        </w:tc>
        <w:tc>
          <w:tcPr>
            <w:tcW w:w="1956" w:type="dxa"/>
            <w:gridSpan w:val="2"/>
            <w:vAlign w:val="center"/>
          </w:tcPr>
          <w:p>
            <w:pPr>
              <w:jc w:val="center"/>
              <w:rPr>
                <w:b/>
                <w:bCs/>
                <w:sz w:val="24"/>
              </w:rPr>
            </w:pPr>
            <w:r>
              <w:rPr>
                <w:rFonts w:hint="eastAsia"/>
              </w:rPr>
              <w:t>满意项目（个）</w:t>
            </w:r>
          </w:p>
        </w:tc>
        <w:tc>
          <w:tcPr>
            <w:tcW w:w="1956" w:type="dxa"/>
            <w:gridSpan w:val="2"/>
            <w:vAlign w:val="center"/>
          </w:tcPr>
          <w:p>
            <w:pPr>
              <w:jc w:val="center"/>
              <w:rPr>
                <w:b/>
                <w:bCs/>
                <w:sz w:val="24"/>
              </w:rPr>
            </w:pPr>
            <w:r>
              <w:rPr>
                <w:rFonts w:hint="eastAsia"/>
              </w:rPr>
              <w:t>满意度（%）</w:t>
            </w:r>
          </w:p>
        </w:tc>
        <w:tc>
          <w:tcPr>
            <w:tcW w:w="1956" w:type="dxa"/>
            <w:gridSpan w:val="2"/>
            <w:vAlign w:val="center"/>
          </w:tcPr>
          <w:p>
            <w:pPr>
              <w:jc w:val="center"/>
            </w:pPr>
            <w:r>
              <w:rPr>
                <w:rFonts w:hint="eastAsia"/>
              </w:rPr>
              <w:t>不满意项目（个）</w:t>
            </w:r>
          </w:p>
          <w:p>
            <w:pPr>
              <w:jc w:val="center"/>
              <w:rPr>
                <w:b/>
                <w:bCs/>
                <w:sz w:val="24"/>
              </w:rPr>
            </w:pPr>
            <w:r>
              <w:rPr>
                <w:rFonts w:hint="eastAsia"/>
              </w:rPr>
              <w:t>（含用户未签评价意见的）</w:t>
            </w:r>
          </w:p>
        </w:tc>
        <w:tc>
          <w:tcPr>
            <w:tcW w:w="1956" w:type="dxa"/>
            <w:gridSpan w:val="3"/>
            <w:vAlign w:val="center"/>
          </w:tcPr>
          <w:p>
            <w:pPr>
              <w:jc w:val="center"/>
              <w:rPr>
                <w:b/>
                <w:bCs/>
                <w:sz w:val="24"/>
              </w:rPr>
            </w:pPr>
            <w:r>
              <w:rPr>
                <w:rFonts w:hint="eastAsia"/>
              </w:rPr>
              <w:t>不满意度（%）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979" w:type="dxa"/>
            <w:vAlign w:val="center"/>
          </w:tcPr>
          <w:p>
            <w:pPr>
              <w:jc w:val="center"/>
              <w:rPr>
                <w:b/>
                <w:bCs/>
                <w:sz w:val="24"/>
              </w:rPr>
            </w:pPr>
            <w:r>
              <w:rPr>
                <w:rFonts w:hint="eastAsia"/>
                <w:sz w:val="18"/>
                <w:szCs w:val="18"/>
              </w:rPr>
              <w:t>第一年度</w:t>
            </w:r>
          </w:p>
        </w:tc>
        <w:tc>
          <w:tcPr>
            <w:tcW w:w="979" w:type="dxa"/>
            <w:vAlign w:val="center"/>
          </w:tcPr>
          <w:p>
            <w:pPr>
              <w:jc w:val="center"/>
              <w:rPr>
                <w:b/>
                <w:bCs/>
                <w:sz w:val="24"/>
              </w:rPr>
            </w:pPr>
            <w:r>
              <w:rPr>
                <w:rFonts w:hint="eastAsia"/>
                <w:sz w:val="18"/>
                <w:szCs w:val="18"/>
              </w:rPr>
              <w:t>第二年度</w:t>
            </w:r>
          </w:p>
        </w:tc>
        <w:tc>
          <w:tcPr>
            <w:tcW w:w="978" w:type="dxa"/>
            <w:vAlign w:val="center"/>
          </w:tcPr>
          <w:p>
            <w:pPr>
              <w:jc w:val="center"/>
              <w:rPr>
                <w:b/>
                <w:bCs/>
                <w:sz w:val="24"/>
              </w:rPr>
            </w:pPr>
            <w:r>
              <w:rPr>
                <w:rFonts w:hint="eastAsia"/>
                <w:sz w:val="18"/>
                <w:szCs w:val="18"/>
              </w:rPr>
              <w:t>第一年度</w:t>
            </w:r>
          </w:p>
        </w:tc>
        <w:tc>
          <w:tcPr>
            <w:tcW w:w="978" w:type="dxa"/>
            <w:vAlign w:val="center"/>
          </w:tcPr>
          <w:p>
            <w:pPr>
              <w:jc w:val="center"/>
              <w:rPr>
                <w:b/>
                <w:bCs/>
                <w:sz w:val="24"/>
              </w:rPr>
            </w:pPr>
            <w:r>
              <w:rPr>
                <w:rFonts w:hint="eastAsia"/>
                <w:sz w:val="18"/>
                <w:szCs w:val="18"/>
              </w:rPr>
              <w:t>第二年度</w:t>
            </w:r>
          </w:p>
        </w:tc>
        <w:tc>
          <w:tcPr>
            <w:tcW w:w="978" w:type="dxa"/>
            <w:vAlign w:val="center"/>
          </w:tcPr>
          <w:p>
            <w:pPr>
              <w:jc w:val="center"/>
              <w:rPr>
                <w:b/>
                <w:bCs/>
                <w:sz w:val="24"/>
              </w:rPr>
            </w:pPr>
            <w:r>
              <w:rPr>
                <w:rFonts w:hint="eastAsia"/>
                <w:sz w:val="18"/>
                <w:szCs w:val="18"/>
              </w:rPr>
              <w:t>第一年度</w:t>
            </w:r>
          </w:p>
        </w:tc>
        <w:tc>
          <w:tcPr>
            <w:tcW w:w="978" w:type="dxa"/>
            <w:vAlign w:val="center"/>
          </w:tcPr>
          <w:p>
            <w:pPr>
              <w:jc w:val="center"/>
              <w:rPr>
                <w:b/>
                <w:bCs/>
                <w:sz w:val="24"/>
              </w:rPr>
            </w:pPr>
            <w:r>
              <w:rPr>
                <w:rFonts w:hint="eastAsia"/>
                <w:sz w:val="18"/>
                <w:szCs w:val="18"/>
              </w:rPr>
              <w:t>第二年度</w:t>
            </w:r>
          </w:p>
        </w:tc>
        <w:tc>
          <w:tcPr>
            <w:tcW w:w="978" w:type="dxa"/>
            <w:vAlign w:val="center"/>
          </w:tcPr>
          <w:p>
            <w:pPr>
              <w:jc w:val="center"/>
              <w:rPr>
                <w:b/>
                <w:bCs/>
                <w:sz w:val="24"/>
              </w:rPr>
            </w:pPr>
            <w:r>
              <w:rPr>
                <w:rFonts w:hint="eastAsia"/>
                <w:sz w:val="18"/>
                <w:szCs w:val="18"/>
              </w:rPr>
              <w:t>第一年度</w:t>
            </w:r>
          </w:p>
        </w:tc>
        <w:tc>
          <w:tcPr>
            <w:tcW w:w="978" w:type="dxa"/>
            <w:vAlign w:val="center"/>
          </w:tcPr>
          <w:p>
            <w:pPr>
              <w:jc w:val="center"/>
              <w:rPr>
                <w:b/>
                <w:bCs/>
                <w:sz w:val="24"/>
              </w:rPr>
            </w:pPr>
            <w:r>
              <w:rPr>
                <w:rFonts w:hint="eastAsia"/>
                <w:sz w:val="18"/>
                <w:szCs w:val="18"/>
              </w:rPr>
              <w:t>第二年度</w:t>
            </w:r>
          </w:p>
        </w:tc>
        <w:tc>
          <w:tcPr>
            <w:tcW w:w="978" w:type="dxa"/>
            <w:gridSpan w:val="2"/>
            <w:vAlign w:val="center"/>
          </w:tcPr>
          <w:p>
            <w:pPr>
              <w:jc w:val="center"/>
              <w:rPr>
                <w:b/>
                <w:bCs/>
                <w:sz w:val="24"/>
              </w:rPr>
            </w:pPr>
            <w:r>
              <w:rPr>
                <w:rFonts w:hint="eastAsia"/>
                <w:sz w:val="18"/>
                <w:szCs w:val="18"/>
              </w:rPr>
              <w:t>第一年度</w:t>
            </w:r>
          </w:p>
        </w:tc>
        <w:tc>
          <w:tcPr>
            <w:tcW w:w="978" w:type="dxa"/>
            <w:vAlign w:val="center"/>
          </w:tcPr>
          <w:p>
            <w:pPr>
              <w:jc w:val="center"/>
              <w:rPr>
                <w:b/>
                <w:bCs/>
                <w:sz w:val="24"/>
              </w:rPr>
            </w:pPr>
            <w:r>
              <w:rPr>
                <w:rFonts w:hint="eastAsia"/>
                <w:sz w:val="18"/>
                <w:szCs w:val="18"/>
              </w:rPr>
              <w:t>第二年度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979" w:type="dxa"/>
            <w:vAlign w:val="center"/>
          </w:tcPr>
          <w:p>
            <w:pPr>
              <w:jc w:val="center"/>
              <w:rPr>
                <w:b/>
                <w:bCs/>
                <w:sz w:val="24"/>
              </w:rPr>
            </w:pPr>
          </w:p>
        </w:tc>
        <w:tc>
          <w:tcPr>
            <w:tcW w:w="979" w:type="dxa"/>
            <w:vAlign w:val="center"/>
          </w:tcPr>
          <w:p>
            <w:pPr>
              <w:jc w:val="center"/>
              <w:rPr>
                <w:b/>
                <w:bCs/>
                <w:sz w:val="24"/>
              </w:rPr>
            </w:pPr>
          </w:p>
        </w:tc>
        <w:tc>
          <w:tcPr>
            <w:tcW w:w="978" w:type="dxa"/>
            <w:vAlign w:val="center"/>
          </w:tcPr>
          <w:p>
            <w:pPr>
              <w:jc w:val="center"/>
              <w:rPr>
                <w:b/>
                <w:bCs/>
                <w:sz w:val="24"/>
              </w:rPr>
            </w:pPr>
          </w:p>
        </w:tc>
        <w:tc>
          <w:tcPr>
            <w:tcW w:w="978" w:type="dxa"/>
            <w:vAlign w:val="center"/>
          </w:tcPr>
          <w:p>
            <w:pPr>
              <w:jc w:val="center"/>
              <w:rPr>
                <w:b/>
                <w:bCs/>
                <w:sz w:val="24"/>
              </w:rPr>
            </w:pPr>
          </w:p>
        </w:tc>
        <w:tc>
          <w:tcPr>
            <w:tcW w:w="978" w:type="dxa"/>
            <w:vAlign w:val="center"/>
          </w:tcPr>
          <w:p>
            <w:pPr>
              <w:jc w:val="center"/>
              <w:rPr>
                <w:b/>
                <w:bCs/>
                <w:sz w:val="24"/>
              </w:rPr>
            </w:pPr>
          </w:p>
        </w:tc>
        <w:tc>
          <w:tcPr>
            <w:tcW w:w="978" w:type="dxa"/>
            <w:vAlign w:val="center"/>
          </w:tcPr>
          <w:p>
            <w:pPr>
              <w:jc w:val="center"/>
              <w:rPr>
                <w:b/>
                <w:bCs/>
                <w:sz w:val="24"/>
              </w:rPr>
            </w:pPr>
          </w:p>
        </w:tc>
        <w:tc>
          <w:tcPr>
            <w:tcW w:w="978" w:type="dxa"/>
            <w:vAlign w:val="center"/>
          </w:tcPr>
          <w:p>
            <w:pPr>
              <w:jc w:val="center"/>
              <w:rPr>
                <w:b/>
                <w:bCs/>
                <w:sz w:val="24"/>
              </w:rPr>
            </w:pPr>
          </w:p>
        </w:tc>
        <w:tc>
          <w:tcPr>
            <w:tcW w:w="978" w:type="dxa"/>
            <w:vAlign w:val="center"/>
          </w:tcPr>
          <w:p>
            <w:pPr>
              <w:jc w:val="center"/>
              <w:rPr>
                <w:b/>
                <w:bCs/>
                <w:sz w:val="24"/>
              </w:rPr>
            </w:pPr>
          </w:p>
        </w:tc>
        <w:tc>
          <w:tcPr>
            <w:tcW w:w="978" w:type="dxa"/>
            <w:gridSpan w:val="2"/>
            <w:vAlign w:val="center"/>
          </w:tcPr>
          <w:p>
            <w:pPr>
              <w:jc w:val="center"/>
              <w:rPr>
                <w:b/>
                <w:bCs/>
                <w:sz w:val="24"/>
              </w:rPr>
            </w:pPr>
          </w:p>
        </w:tc>
        <w:tc>
          <w:tcPr>
            <w:tcW w:w="978" w:type="dxa"/>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782" w:type="dxa"/>
            <w:gridSpan w:val="11"/>
            <w:vAlign w:val="center"/>
          </w:tcPr>
          <w:p>
            <w:pPr>
              <w:jc w:val="center"/>
              <w:rPr>
                <w:rFonts w:asciiTheme="minorEastAsia" w:hAnsiTheme="minorEastAsia"/>
                <w:sz w:val="28"/>
                <w:szCs w:val="28"/>
              </w:rPr>
            </w:pPr>
            <w:r>
              <w:rPr>
                <w:rFonts w:hint="eastAsia"/>
                <w:b/>
                <w:bCs/>
                <w:sz w:val="28"/>
                <w:szCs w:val="28"/>
              </w:rPr>
              <w:t>第一年度服务成果质量用户满意项目一览表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序号</w:t>
            </w:r>
          </w:p>
        </w:tc>
        <w:tc>
          <w:tcPr>
            <w:tcW w:w="2935" w:type="dxa"/>
            <w:gridSpan w:val="3"/>
            <w:vAlign w:val="center"/>
          </w:tcPr>
          <w:p>
            <w:pPr>
              <w:jc w:val="center"/>
              <w:rPr>
                <w:rFonts w:asciiTheme="minorEastAsia" w:hAnsiTheme="minorEastAsia"/>
              </w:rPr>
            </w:pPr>
            <w:r>
              <w:rPr>
                <w:rFonts w:hint="eastAsia" w:asciiTheme="minorEastAsia" w:hAnsiTheme="minorEastAsia"/>
              </w:rPr>
              <w:t>项目名称</w:t>
            </w:r>
          </w:p>
        </w:tc>
        <w:tc>
          <w:tcPr>
            <w:tcW w:w="1956" w:type="dxa"/>
            <w:gridSpan w:val="2"/>
            <w:vAlign w:val="center"/>
          </w:tcPr>
          <w:p>
            <w:pPr>
              <w:jc w:val="center"/>
              <w:rPr>
                <w:rFonts w:asciiTheme="minorEastAsia" w:hAnsiTheme="minorEastAsia"/>
              </w:rPr>
            </w:pPr>
            <w:r>
              <w:rPr>
                <w:rFonts w:hint="eastAsia" w:asciiTheme="minorEastAsia" w:hAnsiTheme="minorEastAsia"/>
              </w:rPr>
              <w:t>用户单位名称</w:t>
            </w:r>
          </w:p>
        </w:tc>
        <w:tc>
          <w:tcPr>
            <w:tcW w:w="978" w:type="dxa"/>
            <w:vAlign w:val="center"/>
          </w:tcPr>
          <w:p>
            <w:pPr>
              <w:jc w:val="center"/>
              <w:rPr>
                <w:rFonts w:asciiTheme="minorEastAsia" w:hAnsiTheme="minorEastAsia"/>
              </w:rPr>
            </w:pPr>
            <w:r>
              <w:rPr>
                <w:rFonts w:hint="eastAsia" w:asciiTheme="minorEastAsia" w:hAnsiTheme="minorEastAsia"/>
              </w:rPr>
              <w:t>联系人</w:t>
            </w:r>
          </w:p>
        </w:tc>
        <w:tc>
          <w:tcPr>
            <w:tcW w:w="1057" w:type="dxa"/>
            <w:gridSpan w:val="2"/>
            <w:vAlign w:val="center"/>
          </w:tcPr>
          <w:p>
            <w:pPr>
              <w:jc w:val="center"/>
              <w:rPr>
                <w:rFonts w:asciiTheme="minorEastAsia" w:hAnsiTheme="minorEastAsia"/>
              </w:rPr>
            </w:pPr>
            <w:r>
              <w:rPr>
                <w:rFonts w:hint="eastAsia" w:asciiTheme="minorEastAsia" w:hAnsiTheme="minorEastAsia"/>
              </w:rPr>
              <w:t>联系电话</w:t>
            </w:r>
          </w:p>
        </w:tc>
        <w:tc>
          <w:tcPr>
            <w:tcW w:w="1877" w:type="dxa"/>
            <w:gridSpan w:val="2"/>
            <w:vAlign w:val="center"/>
          </w:tcPr>
          <w:p>
            <w:pPr>
              <w:jc w:val="center"/>
              <w:rPr>
                <w:rFonts w:asciiTheme="minorEastAsia" w:hAnsiTheme="minorEastAsia"/>
              </w:rPr>
            </w:pPr>
            <w:r>
              <w:rPr>
                <w:rFonts w:hint="eastAsia" w:asciiTheme="minorEastAsia" w:hAnsiTheme="minorEastAsia"/>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1</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2</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3</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4</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5</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782" w:type="dxa"/>
            <w:gridSpan w:val="11"/>
            <w:vAlign w:val="center"/>
          </w:tcPr>
          <w:p>
            <w:pPr>
              <w:jc w:val="center"/>
              <w:rPr>
                <w:rFonts w:asciiTheme="minorEastAsia" w:hAnsiTheme="minorEastAsia"/>
                <w:sz w:val="28"/>
                <w:szCs w:val="28"/>
              </w:rPr>
            </w:pPr>
            <w:r>
              <w:rPr>
                <w:rFonts w:hint="eastAsia"/>
                <w:b/>
                <w:bCs/>
                <w:sz w:val="28"/>
                <w:szCs w:val="28"/>
              </w:rPr>
              <w:t>第二年度服务成果质量用户满意项目一览表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序号</w:t>
            </w:r>
          </w:p>
        </w:tc>
        <w:tc>
          <w:tcPr>
            <w:tcW w:w="2935" w:type="dxa"/>
            <w:gridSpan w:val="3"/>
            <w:vAlign w:val="center"/>
          </w:tcPr>
          <w:p>
            <w:pPr>
              <w:jc w:val="center"/>
              <w:rPr>
                <w:rFonts w:asciiTheme="minorEastAsia" w:hAnsiTheme="minorEastAsia"/>
              </w:rPr>
            </w:pPr>
            <w:r>
              <w:rPr>
                <w:rFonts w:hint="eastAsia" w:asciiTheme="minorEastAsia" w:hAnsiTheme="minorEastAsia"/>
              </w:rPr>
              <w:t>项目名称</w:t>
            </w:r>
          </w:p>
        </w:tc>
        <w:tc>
          <w:tcPr>
            <w:tcW w:w="1956" w:type="dxa"/>
            <w:gridSpan w:val="2"/>
            <w:vAlign w:val="center"/>
          </w:tcPr>
          <w:p>
            <w:pPr>
              <w:jc w:val="center"/>
              <w:rPr>
                <w:rFonts w:asciiTheme="minorEastAsia" w:hAnsiTheme="minorEastAsia"/>
              </w:rPr>
            </w:pPr>
            <w:r>
              <w:rPr>
                <w:rFonts w:hint="eastAsia" w:asciiTheme="minorEastAsia" w:hAnsiTheme="minorEastAsia"/>
              </w:rPr>
              <w:t>用户单位名称</w:t>
            </w:r>
          </w:p>
        </w:tc>
        <w:tc>
          <w:tcPr>
            <w:tcW w:w="978" w:type="dxa"/>
            <w:vAlign w:val="center"/>
          </w:tcPr>
          <w:p>
            <w:pPr>
              <w:jc w:val="center"/>
              <w:rPr>
                <w:rFonts w:asciiTheme="minorEastAsia" w:hAnsiTheme="minorEastAsia"/>
              </w:rPr>
            </w:pPr>
            <w:r>
              <w:rPr>
                <w:rFonts w:hint="eastAsia" w:asciiTheme="minorEastAsia" w:hAnsiTheme="minorEastAsia"/>
              </w:rPr>
              <w:t>联系人</w:t>
            </w:r>
          </w:p>
        </w:tc>
        <w:tc>
          <w:tcPr>
            <w:tcW w:w="1057" w:type="dxa"/>
            <w:gridSpan w:val="2"/>
            <w:vAlign w:val="center"/>
          </w:tcPr>
          <w:p>
            <w:pPr>
              <w:jc w:val="center"/>
              <w:rPr>
                <w:rFonts w:asciiTheme="minorEastAsia" w:hAnsiTheme="minorEastAsia"/>
              </w:rPr>
            </w:pPr>
            <w:r>
              <w:rPr>
                <w:rFonts w:hint="eastAsia" w:asciiTheme="minorEastAsia" w:hAnsiTheme="minorEastAsia"/>
              </w:rPr>
              <w:t>联系电话</w:t>
            </w:r>
          </w:p>
        </w:tc>
        <w:tc>
          <w:tcPr>
            <w:tcW w:w="1877" w:type="dxa"/>
            <w:gridSpan w:val="2"/>
            <w:vAlign w:val="center"/>
          </w:tcPr>
          <w:p>
            <w:pPr>
              <w:jc w:val="center"/>
              <w:rPr>
                <w:rFonts w:asciiTheme="minorEastAsia" w:hAnsiTheme="minorEastAsia"/>
              </w:rPr>
            </w:pPr>
            <w:r>
              <w:rPr>
                <w:rFonts w:hint="eastAsia" w:asciiTheme="minorEastAsia" w:hAnsiTheme="minorEastAsia"/>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1</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2</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3</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4</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 w:type="dxa"/>
            <w:vAlign w:val="center"/>
          </w:tcPr>
          <w:p>
            <w:pPr>
              <w:jc w:val="center"/>
              <w:rPr>
                <w:rFonts w:asciiTheme="minorEastAsia" w:hAnsiTheme="minorEastAsia"/>
              </w:rPr>
            </w:pPr>
            <w:r>
              <w:rPr>
                <w:rFonts w:hint="eastAsia" w:asciiTheme="minorEastAsia" w:hAnsiTheme="minorEastAsia"/>
              </w:rPr>
              <w:t>5</w:t>
            </w:r>
          </w:p>
        </w:tc>
        <w:tc>
          <w:tcPr>
            <w:tcW w:w="2935" w:type="dxa"/>
            <w:gridSpan w:val="3"/>
            <w:vAlign w:val="center"/>
          </w:tcPr>
          <w:p>
            <w:pPr>
              <w:jc w:val="center"/>
              <w:rPr>
                <w:rFonts w:asciiTheme="minorEastAsia" w:hAnsiTheme="minorEastAsia"/>
              </w:rPr>
            </w:pPr>
          </w:p>
        </w:tc>
        <w:tc>
          <w:tcPr>
            <w:tcW w:w="1956" w:type="dxa"/>
            <w:gridSpan w:val="2"/>
            <w:vAlign w:val="center"/>
          </w:tcPr>
          <w:p>
            <w:pPr>
              <w:jc w:val="center"/>
              <w:rPr>
                <w:rFonts w:asciiTheme="minorEastAsia" w:hAnsiTheme="minorEastAsia"/>
              </w:rPr>
            </w:pPr>
          </w:p>
        </w:tc>
        <w:tc>
          <w:tcPr>
            <w:tcW w:w="978" w:type="dxa"/>
            <w:vAlign w:val="center"/>
          </w:tcPr>
          <w:p>
            <w:pPr>
              <w:jc w:val="center"/>
              <w:rPr>
                <w:rFonts w:asciiTheme="minorEastAsia" w:hAnsiTheme="minorEastAsia"/>
              </w:rPr>
            </w:pPr>
          </w:p>
        </w:tc>
        <w:tc>
          <w:tcPr>
            <w:tcW w:w="1057" w:type="dxa"/>
            <w:gridSpan w:val="2"/>
            <w:vAlign w:val="center"/>
          </w:tcPr>
          <w:p>
            <w:pPr>
              <w:jc w:val="center"/>
              <w:rPr>
                <w:rFonts w:asciiTheme="minorEastAsia" w:hAnsiTheme="minorEastAsia"/>
              </w:rPr>
            </w:pPr>
          </w:p>
        </w:tc>
        <w:tc>
          <w:tcPr>
            <w:tcW w:w="1877" w:type="dxa"/>
            <w:gridSpan w:val="2"/>
            <w:vAlign w:val="center"/>
          </w:tcPr>
          <w:p>
            <w:pPr>
              <w:jc w:val="center"/>
              <w:rPr>
                <w:rFonts w:asciiTheme="minorEastAsia" w:hAnsiTheme="minorEastAsia"/>
              </w:rPr>
            </w:pPr>
          </w:p>
        </w:tc>
      </w:tr>
    </w:tbl>
    <w:p>
      <w:pPr>
        <w:ind w:left="632" w:right="-197" w:rightChars="-94" w:hanging="632" w:hangingChars="300"/>
        <w:rPr>
          <w:rFonts w:ascii="仿宋" w:hAnsi="仿宋" w:eastAsia="仿宋" w:cs="仿宋"/>
          <w:b/>
          <w:szCs w:val="21"/>
        </w:rPr>
      </w:pPr>
      <w:r>
        <w:rPr>
          <w:rFonts w:hint="eastAsia" w:ascii="仿宋" w:hAnsi="仿宋" w:eastAsia="仿宋" w:cs="仿宋"/>
          <w:b/>
          <w:szCs w:val="21"/>
        </w:rPr>
        <w:t>说明：1.填列质量保证机构人员，表格数量不足，可自行增加；制度概要，可另行单独表述；2.用户满意度一览表，</w:t>
      </w:r>
      <w:r>
        <w:rPr>
          <w:rFonts w:hint="eastAsia" w:ascii="仿宋" w:hAnsi="仿宋" w:eastAsia="仿宋" w:cs="仿宋"/>
          <w:b/>
          <w:szCs w:val="21"/>
          <w:lang w:eastAsia="zh-CN"/>
        </w:rPr>
        <w:t>由企业择服务成果质量最佳的</w:t>
      </w:r>
      <w:r>
        <w:rPr>
          <w:rFonts w:hint="eastAsia" w:ascii="仿宋" w:hAnsi="仿宋" w:eastAsia="仿宋" w:cs="仿宋"/>
          <w:b/>
          <w:szCs w:val="21"/>
        </w:rPr>
        <w:t>5项填写。</w:t>
      </w:r>
    </w:p>
    <w:p>
      <w:pPr>
        <w:rPr>
          <w:b/>
          <w:bCs/>
          <w:sz w:val="36"/>
          <w:szCs w:val="36"/>
        </w:rPr>
        <w:sectPr>
          <w:footerReference r:id="rId4" w:type="default"/>
          <w:pgSz w:w="11906" w:h="16838"/>
          <w:pgMar w:top="1440" w:right="1800" w:bottom="1440" w:left="1800" w:header="851" w:footer="992" w:gutter="0"/>
          <w:cols w:space="425" w:num="1"/>
          <w:docGrid w:type="lines" w:linePitch="312" w:charSpace="0"/>
        </w:sectPr>
      </w:pPr>
    </w:p>
    <w:p>
      <w:pPr>
        <w:rPr>
          <w:rFonts w:asciiTheme="majorEastAsia" w:hAnsiTheme="majorEastAsia" w:eastAsiaTheme="majorEastAsia"/>
          <w:sz w:val="32"/>
          <w:szCs w:val="32"/>
        </w:rPr>
      </w:pPr>
      <w:r>
        <w:rPr>
          <w:rFonts w:hint="eastAsia" w:asciiTheme="majorEastAsia" w:hAnsiTheme="majorEastAsia" w:eastAsiaTheme="majorEastAsia"/>
          <w:sz w:val="32"/>
          <w:szCs w:val="32"/>
        </w:rPr>
        <w:t>附件3-</w:t>
      </w:r>
      <w:r>
        <w:rPr>
          <w:rFonts w:hint="eastAsia" w:asciiTheme="majorEastAsia" w:hAnsiTheme="majorEastAsia" w:eastAsiaTheme="majorEastAsia"/>
          <w:sz w:val="32"/>
          <w:szCs w:val="32"/>
          <w:lang w:val="en-US" w:eastAsia="zh-CN"/>
        </w:rPr>
        <w:t>6</w:t>
      </w:r>
      <w:r>
        <w:rPr>
          <w:rFonts w:hint="eastAsia" w:asciiTheme="majorEastAsia" w:hAnsiTheme="majorEastAsia" w:eastAsiaTheme="majorEastAsia"/>
          <w:sz w:val="32"/>
          <w:szCs w:val="32"/>
        </w:rPr>
        <w:t xml:space="preserve">                      </w:t>
      </w:r>
    </w:p>
    <w:p>
      <w:pPr>
        <w:jc w:val="center"/>
        <w:rPr>
          <w:rFonts w:hint="eastAsia" w:eastAsiaTheme="minorEastAsia"/>
          <w:sz w:val="36"/>
          <w:szCs w:val="36"/>
          <w:lang w:eastAsia="zh-CN"/>
        </w:rPr>
      </w:pPr>
      <w:r>
        <w:rPr>
          <w:rFonts w:hint="eastAsia" w:asciiTheme="minorEastAsia" w:hAnsiTheme="minorEastAsia" w:cstheme="minorEastAsia"/>
          <w:b/>
          <w:bCs/>
          <w:sz w:val="36"/>
          <w:szCs w:val="36"/>
        </w:rPr>
        <w:t>评价期企业营业收入</w:t>
      </w:r>
      <w:r>
        <w:rPr>
          <w:rFonts w:hint="eastAsia" w:asciiTheme="minorEastAsia" w:hAnsiTheme="minorEastAsia" w:cstheme="minorEastAsia"/>
          <w:b/>
          <w:bCs/>
          <w:sz w:val="36"/>
          <w:szCs w:val="36"/>
          <w:lang w:eastAsia="zh-CN"/>
        </w:rPr>
        <w:t>表</w:t>
      </w:r>
    </w:p>
    <w:tbl>
      <w:tblPr>
        <w:tblStyle w:val="4"/>
        <w:tblpPr w:leftFromText="180" w:rightFromText="180" w:vertAnchor="text" w:horzAnchor="page" w:tblpX="1722" w:tblpY="236"/>
        <w:tblOverlap w:val="never"/>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45"/>
        <w:gridCol w:w="3266"/>
        <w:gridCol w:w="2693"/>
        <w:gridCol w:w="2977"/>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7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rPr>
              <w:t>营业收入状况</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szCs w:val="21"/>
              </w:rPr>
              <w:t>第一年度（万元）</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rPr>
            </w:pPr>
            <w:r>
              <w:rPr>
                <w:rFonts w:hint="eastAsia" w:ascii="宋体" w:hAnsi="宋体"/>
                <w:szCs w:val="21"/>
              </w:rPr>
              <w:t>第二年度（万元）</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786" w:type="dxa"/>
            <w:gridSpan w:val="3"/>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企业营业总收入</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工程造价咨询业务收入</w:t>
            </w:r>
          </w:p>
        </w:tc>
        <w:tc>
          <w:tcPr>
            <w:tcW w:w="4111" w:type="dxa"/>
            <w:gridSpan w:val="2"/>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常规工程造价咨询业务收入</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top w:val="single" w:color="auto" w:sz="4" w:space="0"/>
              <w:left w:val="single" w:color="auto" w:sz="4" w:space="0"/>
              <w:right w:val="single" w:color="auto" w:sz="4" w:space="0"/>
            </w:tcBorders>
            <w:vAlign w:val="center"/>
          </w:tcPr>
          <w:p>
            <w:pPr>
              <w:spacing w:line="360" w:lineRule="auto"/>
              <w:jc w:val="center"/>
              <w:rPr>
                <w:rFonts w:ascii="宋体" w:hAnsi="宋体" w:cs="仿宋_GB2312"/>
              </w:rPr>
            </w:pPr>
          </w:p>
        </w:tc>
        <w:tc>
          <w:tcPr>
            <w:tcW w:w="4111" w:type="dxa"/>
            <w:gridSpan w:val="2"/>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招标代理业务收入</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left w:val="single" w:color="auto" w:sz="4" w:space="0"/>
              <w:right w:val="single" w:color="auto" w:sz="4" w:space="0"/>
            </w:tcBorders>
            <w:vAlign w:val="center"/>
          </w:tcPr>
          <w:p>
            <w:pPr>
              <w:spacing w:line="360" w:lineRule="auto"/>
              <w:jc w:val="center"/>
              <w:rPr>
                <w:rFonts w:ascii="宋体" w:hAnsi="宋体" w:cs="仿宋_GB2312"/>
              </w:rPr>
            </w:pPr>
          </w:p>
        </w:tc>
        <w:tc>
          <w:tcPr>
            <w:tcW w:w="845" w:type="dxa"/>
            <w:vMerge w:val="restart"/>
            <w:tcBorders>
              <w:left w:val="single" w:color="auto" w:sz="4" w:space="0"/>
              <w:right w:val="single" w:color="auto" w:sz="4" w:space="0"/>
            </w:tcBorders>
            <w:vAlign w:val="center"/>
          </w:tcPr>
          <w:p>
            <w:pPr>
              <w:spacing w:line="360" w:lineRule="auto"/>
              <w:jc w:val="center"/>
              <w:rPr>
                <w:rFonts w:ascii="宋体" w:hAnsi="宋体" w:cs="仿宋_GB2312"/>
              </w:rPr>
            </w:pPr>
            <w:r>
              <w:rPr>
                <w:rFonts w:hint="eastAsia" w:ascii="宋体" w:hAnsi="宋体" w:cs="仿宋_GB2312"/>
              </w:rPr>
              <w:t>高端收入</w:t>
            </w:r>
          </w:p>
        </w:tc>
        <w:tc>
          <w:tcPr>
            <w:tcW w:w="3266"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PPP项目咨询业务收入</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845" w:type="dxa"/>
            <w:vMerge w:val="continue"/>
            <w:tcBorders>
              <w:left w:val="single" w:color="auto" w:sz="4" w:space="0"/>
              <w:right w:val="single" w:color="auto" w:sz="4" w:space="0"/>
            </w:tcBorders>
            <w:vAlign w:val="center"/>
          </w:tcPr>
          <w:p>
            <w:pPr>
              <w:spacing w:line="360" w:lineRule="auto"/>
              <w:jc w:val="center"/>
              <w:rPr>
                <w:rFonts w:ascii="宋体" w:hAnsi="宋体" w:cs="仿宋_GB2312"/>
              </w:rPr>
            </w:pPr>
          </w:p>
        </w:tc>
        <w:tc>
          <w:tcPr>
            <w:tcW w:w="3266"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全过程工程咨询业务收入</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left w:val="single" w:color="auto" w:sz="4" w:space="0"/>
              <w:bottom w:val="single" w:color="auto" w:sz="4" w:space="0"/>
              <w:right w:val="single" w:color="auto" w:sz="4" w:space="0"/>
            </w:tcBorders>
            <w:vAlign w:val="center"/>
          </w:tcPr>
          <w:p>
            <w:pPr>
              <w:widowControl/>
              <w:jc w:val="center"/>
            </w:pPr>
          </w:p>
        </w:tc>
        <w:tc>
          <w:tcPr>
            <w:tcW w:w="845" w:type="dxa"/>
            <w:vMerge w:val="continue"/>
            <w:tcBorders>
              <w:left w:val="single" w:color="auto" w:sz="4" w:space="0"/>
              <w:right w:val="single" w:color="auto" w:sz="4" w:space="0"/>
            </w:tcBorders>
            <w:vAlign w:val="center"/>
          </w:tcPr>
          <w:p>
            <w:pPr>
              <w:widowControl/>
              <w:jc w:val="center"/>
            </w:pPr>
          </w:p>
        </w:tc>
        <w:tc>
          <w:tcPr>
            <w:tcW w:w="3266"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EPC项目咨询业务收入</w:t>
            </w:r>
          </w:p>
        </w:tc>
        <w:tc>
          <w:tcPr>
            <w:tcW w:w="2693"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845" w:type="dxa"/>
            <w:vMerge w:val="continue"/>
            <w:tcBorders>
              <w:left w:val="single" w:color="auto" w:sz="4" w:space="0"/>
              <w:right w:val="single" w:color="auto" w:sz="4" w:space="0"/>
            </w:tcBorders>
            <w:vAlign w:val="center"/>
          </w:tcPr>
          <w:p>
            <w:pPr>
              <w:spacing w:line="360" w:lineRule="auto"/>
              <w:jc w:val="center"/>
              <w:rPr>
                <w:rFonts w:ascii="宋体" w:hAnsi="宋体" w:cs="仿宋_GB2312"/>
              </w:rPr>
            </w:pPr>
          </w:p>
        </w:tc>
        <w:tc>
          <w:tcPr>
            <w:tcW w:w="3266" w:type="dxa"/>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cs="仿宋_GB2312"/>
              </w:rPr>
              <w:t>高端收入小计</w:t>
            </w:r>
          </w:p>
        </w:tc>
        <w:tc>
          <w:tcPr>
            <w:tcW w:w="269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75"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仿宋_GB2312"/>
              </w:rPr>
            </w:pPr>
          </w:p>
        </w:tc>
        <w:tc>
          <w:tcPr>
            <w:tcW w:w="4111" w:type="dxa"/>
            <w:gridSpan w:val="2"/>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合计</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bl>
    <w:p>
      <w:pPr>
        <w:jc w:val="center"/>
      </w:pPr>
    </w:p>
    <w:p>
      <w:pPr>
        <w:ind w:left="632" w:hanging="632" w:hangingChars="300"/>
        <w:jc w:val="left"/>
        <w:rPr>
          <w:rFonts w:hint="eastAsia" w:ascii="仿宋" w:hAnsi="仿宋" w:eastAsia="仿宋" w:cs="仿宋"/>
          <w:b/>
          <w:szCs w:val="21"/>
          <w:lang w:eastAsia="zh-CN"/>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cs="仿宋"/>
          <w:b/>
          <w:szCs w:val="21"/>
        </w:rPr>
        <w:t>说明：该表实行分类填报。1.常规工程造价咨询业务收入，依合同收入高低为序，从高到低，最多列30个合同项目即可；2.高端业务收入，列入全部合同项目</w:t>
      </w:r>
      <w:r>
        <w:rPr>
          <w:rFonts w:hint="eastAsia" w:ascii="仿宋" w:hAnsi="仿宋" w:eastAsia="仿宋" w:cs="仿宋"/>
          <w:b/>
          <w:szCs w:val="21"/>
          <w:lang w:eastAsia="zh-CN"/>
        </w:rPr>
        <w:t>。</w:t>
      </w:r>
    </w:p>
    <w:p>
      <w:pPr>
        <w:jc w:val="center"/>
        <w:rPr>
          <w:b/>
          <w:sz w:val="36"/>
          <w:szCs w:val="36"/>
        </w:rPr>
      </w:pPr>
      <w:r>
        <w:rPr>
          <w:rFonts w:hint="eastAsia" w:asciiTheme="minorEastAsia" w:hAnsiTheme="minorEastAsia" w:cstheme="minorEastAsia"/>
          <w:b/>
          <w:bCs/>
          <w:sz w:val="36"/>
          <w:szCs w:val="36"/>
        </w:rPr>
        <w:t>评价期企业营业收入</w:t>
      </w:r>
      <w:r>
        <w:rPr>
          <w:rFonts w:hint="eastAsia" w:asciiTheme="minorEastAsia" w:hAnsiTheme="minorEastAsia" w:cstheme="minorEastAsia"/>
          <w:b/>
          <w:bCs/>
          <w:sz w:val="36"/>
          <w:szCs w:val="36"/>
          <w:lang w:eastAsia="zh-CN"/>
        </w:rPr>
        <w:t>表</w:t>
      </w:r>
      <w:r>
        <w:rPr>
          <w:rFonts w:hint="eastAsia"/>
          <w:b/>
          <w:sz w:val="36"/>
          <w:szCs w:val="36"/>
        </w:rPr>
        <w:t>（</w:t>
      </w:r>
      <w:r>
        <w:rPr>
          <w:rFonts w:hint="eastAsia"/>
          <w:b/>
          <w:sz w:val="36"/>
          <w:szCs w:val="36"/>
          <w:lang w:eastAsia="zh-CN"/>
        </w:rPr>
        <w:t>续</w:t>
      </w:r>
      <w:r>
        <w:rPr>
          <w:rFonts w:hint="eastAsia"/>
          <w:b/>
          <w:sz w:val="36"/>
          <w:szCs w:val="36"/>
        </w:rPr>
        <w:t>）</w:t>
      </w:r>
    </w:p>
    <w:tbl>
      <w:tblPr>
        <w:tblStyle w:val="4"/>
        <w:tblpPr w:leftFromText="180" w:rightFromText="180" w:vertAnchor="text" w:horzAnchor="margin" w:tblpY="396"/>
        <w:tblOverlap w:val="never"/>
        <w:tblW w:w="14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361"/>
        <w:gridCol w:w="927"/>
        <w:gridCol w:w="839"/>
        <w:gridCol w:w="4606"/>
        <w:gridCol w:w="1111"/>
        <w:gridCol w:w="2029"/>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7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2361"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项目名称</w:t>
            </w:r>
          </w:p>
        </w:tc>
        <w:tc>
          <w:tcPr>
            <w:tcW w:w="6372" w:type="dxa"/>
            <w:gridSpan w:val="3"/>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合      同</w:t>
            </w:r>
          </w:p>
        </w:tc>
        <w:tc>
          <w:tcPr>
            <w:tcW w:w="1111"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项目成果报告文号</w:t>
            </w:r>
          </w:p>
        </w:tc>
        <w:tc>
          <w:tcPr>
            <w:tcW w:w="2029" w:type="dxa"/>
            <w:vMerge w:val="restart"/>
            <w:vAlign w:val="center"/>
          </w:tcPr>
          <w:p>
            <w:pPr>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服务标的额（万元）</w:t>
            </w:r>
          </w:p>
          <w:p>
            <w:pPr>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（即项目工程造价）</w:t>
            </w:r>
          </w:p>
        </w:tc>
        <w:tc>
          <w:tcPr>
            <w:tcW w:w="1911"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工程造价咨询营业</w:t>
            </w:r>
          </w:p>
          <w:p>
            <w:pPr>
              <w:jc w:val="center"/>
              <w:rPr>
                <w:rFonts w:asciiTheme="minorEastAsia" w:hAnsiTheme="minorEastAsia" w:cstheme="minorEastAsia"/>
                <w:szCs w:val="21"/>
              </w:rPr>
            </w:pPr>
            <w:r>
              <w:rPr>
                <w:rFonts w:hint="eastAsia" w:asciiTheme="minorEastAsia" w:hAnsiTheme="minorEastAsia" w:cstheme="minorEastAsia"/>
                <w:szCs w:val="21"/>
              </w:rPr>
              <w:t>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70" w:type="dxa"/>
            <w:vMerge w:val="continue"/>
            <w:vAlign w:val="center"/>
          </w:tcPr>
          <w:p>
            <w:pPr>
              <w:jc w:val="center"/>
              <w:rPr>
                <w:rFonts w:asciiTheme="minorEastAsia" w:hAnsiTheme="minorEastAsia" w:cstheme="minorEastAsia"/>
                <w:szCs w:val="21"/>
              </w:rPr>
            </w:pPr>
          </w:p>
        </w:tc>
        <w:tc>
          <w:tcPr>
            <w:tcW w:w="2361" w:type="dxa"/>
            <w:vMerge w:val="continue"/>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合同号</w:t>
            </w:r>
          </w:p>
        </w:tc>
        <w:tc>
          <w:tcPr>
            <w:tcW w:w="83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起止时间</w:t>
            </w:r>
          </w:p>
        </w:tc>
        <w:tc>
          <w:tcPr>
            <w:tcW w:w="460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工作内容</w:t>
            </w:r>
          </w:p>
        </w:tc>
        <w:tc>
          <w:tcPr>
            <w:tcW w:w="1111" w:type="dxa"/>
            <w:vMerge w:val="continue"/>
            <w:vAlign w:val="center"/>
          </w:tcPr>
          <w:p>
            <w:pPr>
              <w:jc w:val="center"/>
              <w:rPr>
                <w:rFonts w:asciiTheme="minorEastAsia" w:hAnsiTheme="minorEastAsia" w:cstheme="minorEastAsia"/>
                <w:szCs w:val="21"/>
              </w:rPr>
            </w:pPr>
          </w:p>
        </w:tc>
        <w:tc>
          <w:tcPr>
            <w:tcW w:w="2029" w:type="dxa"/>
            <w:vMerge w:val="continue"/>
            <w:vAlign w:val="center"/>
          </w:tcPr>
          <w:p>
            <w:pPr>
              <w:jc w:val="center"/>
              <w:rPr>
                <w:rFonts w:asciiTheme="minorEastAsia" w:hAnsiTheme="minorEastAsia" w:cstheme="minorEastAsia"/>
                <w:color w:val="000000" w:themeColor="text1"/>
                <w:szCs w:val="21"/>
              </w:rPr>
            </w:pPr>
          </w:p>
        </w:tc>
        <w:tc>
          <w:tcPr>
            <w:tcW w:w="1911" w:type="dxa"/>
            <w:vMerge w:val="continue"/>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一、</w:t>
            </w:r>
          </w:p>
        </w:tc>
        <w:tc>
          <w:tcPr>
            <w:tcW w:w="2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常规工程造价咨询收入</w:t>
            </w:r>
          </w:p>
        </w:tc>
        <w:tc>
          <w:tcPr>
            <w:tcW w:w="11423" w:type="dxa"/>
            <w:gridSpan w:val="6"/>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二、</w:t>
            </w:r>
          </w:p>
        </w:tc>
        <w:tc>
          <w:tcPr>
            <w:tcW w:w="2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PPP项目咨询收入</w:t>
            </w:r>
          </w:p>
        </w:tc>
        <w:tc>
          <w:tcPr>
            <w:tcW w:w="11423" w:type="dxa"/>
            <w:gridSpan w:val="6"/>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三、</w:t>
            </w:r>
          </w:p>
        </w:tc>
        <w:tc>
          <w:tcPr>
            <w:tcW w:w="2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全过程项目咨询收入</w:t>
            </w:r>
          </w:p>
        </w:tc>
        <w:tc>
          <w:tcPr>
            <w:tcW w:w="11423" w:type="dxa"/>
            <w:gridSpan w:val="6"/>
            <w:vAlign w:val="center"/>
          </w:tcPr>
          <w:p>
            <w:pPr>
              <w:jc w:val="left"/>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四、</w:t>
            </w:r>
          </w:p>
        </w:tc>
        <w:tc>
          <w:tcPr>
            <w:tcW w:w="236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EPC项目咨询收入</w:t>
            </w: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7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361" w:type="dxa"/>
            <w:vAlign w:val="center"/>
          </w:tcPr>
          <w:p>
            <w:pPr>
              <w:jc w:val="center"/>
              <w:rPr>
                <w:rFonts w:asciiTheme="minorEastAsia" w:hAnsiTheme="minorEastAsia" w:cstheme="minorEastAsia"/>
                <w:szCs w:val="21"/>
              </w:rPr>
            </w:pPr>
          </w:p>
        </w:tc>
        <w:tc>
          <w:tcPr>
            <w:tcW w:w="927" w:type="dxa"/>
            <w:vAlign w:val="center"/>
          </w:tcPr>
          <w:p>
            <w:pPr>
              <w:jc w:val="center"/>
              <w:rPr>
                <w:rFonts w:asciiTheme="minorEastAsia" w:hAnsiTheme="minorEastAsia" w:cstheme="minorEastAsia"/>
                <w:szCs w:val="21"/>
              </w:rPr>
            </w:pPr>
          </w:p>
        </w:tc>
        <w:tc>
          <w:tcPr>
            <w:tcW w:w="839" w:type="dxa"/>
            <w:vAlign w:val="center"/>
          </w:tcPr>
          <w:p>
            <w:pPr>
              <w:jc w:val="center"/>
              <w:rPr>
                <w:rFonts w:asciiTheme="minorEastAsia" w:hAnsiTheme="minorEastAsia" w:cstheme="minorEastAsia"/>
                <w:szCs w:val="21"/>
              </w:rPr>
            </w:pPr>
          </w:p>
        </w:tc>
        <w:tc>
          <w:tcPr>
            <w:tcW w:w="4606" w:type="dxa"/>
            <w:vAlign w:val="center"/>
          </w:tcPr>
          <w:p>
            <w:pPr>
              <w:jc w:val="center"/>
              <w:rPr>
                <w:rFonts w:asciiTheme="minorEastAsia" w:hAnsiTheme="minorEastAsia" w:cstheme="minorEastAsia"/>
                <w:szCs w:val="21"/>
              </w:rPr>
            </w:pPr>
          </w:p>
        </w:tc>
        <w:tc>
          <w:tcPr>
            <w:tcW w:w="1111" w:type="dxa"/>
            <w:vAlign w:val="center"/>
          </w:tcPr>
          <w:p>
            <w:pPr>
              <w:jc w:val="center"/>
              <w:rPr>
                <w:rFonts w:asciiTheme="minorEastAsia" w:hAnsiTheme="minorEastAsia" w:cstheme="minorEastAsia"/>
                <w:szCs w:val="21"/>
              </w:rPr>
            </w:pPr>
          </w:p>
        </w:tc>
        <w:tc>
          <w:tcPr>
            <w:tcW w:w="2029" w:type="dxa"/>
            <w:vAlign w:val="center"/>
          </w:tcPr>
          <w:p>
            <w:pPr>
              <w:jc w:val="center"/>
              <w:rPr>
                <w:rFonts w:asciiTheme="minorEastAsia" w:hAnsiTheme="minorEastAsia" w:cstheme="minorEastAsia"/>
                <w:szCs w:val="21"/>
              </w:rPr>
            </w:pPr>
          </w:p>
        </w:tc>
        <w:tc>
          <w:tcPr>
            <w:tcW w:w="1911" w:type="dxa"/>
            <w:vAlign w:val="center"/>
          </w:tcPr>
          <w:p>
            <w:pPr>
              <w:jc w:val="center"/>
              <w:rPr>
                <w:rFonts w:asciiTheme="minorEastAsia" w:hAnsiTheme="minorEastAsia" w:cstheme="minorEastAsia"/>
                <w:szCs w:val="21"/>
              </w:rPr>
            </w:pPr>
          </w:p>
        </w:tc>
      </w:tr>
    </w:tbl>
    <w:p>
      <w:pPr>
        <w:jc w:val="center"/>
      </w:pPr>
    </w:p>
    <w:p>
      <w:pPr>
        <w:jc w:val="center"/>
        <w:rPr>
          <w:rFonts w:hint="eastAsia" w:ascii="仿宋" w:hAnsi="仿宋" w:eastAsia="仿宋" w:cs="仿宋"/>
          <w:b/>
          <w:bCs/>
          <w:lang w:eastAsia="zh-CN"/>
        </w:rPr>
      </w:pPr>
    </w:p>
    <w:p>
      <w:pPr>
        <w:jc w:val="center"/>
        <w:rPr>
          <w:rFonts w:hint="eastAsia" w:ascii="仿宋" w:hAnsi="仿宋" w:eastAsia="仿宋" w:cs="仿宋"/>
          <w:b/>
          <w:bCs/>
          <w:lang w:eastAsia="zh-CN"/>
        </w:rPr>
      </w:pPr>
      <w:r>
        <w:rPr>
          <w:rFonts w:hint="eastAsia" w:ascii="仿宋" w:hAnsi="仿宋" w:eastAsia="仿宋" w:cs="仿宋"/>
          <w:b/>
          <w:bCs/>
          <w:lang w:eastAsia="zh-CN"/>
        </w:rPr>
        <w:t>说明：本表按评价期两个年度分别填写。</w:t>
      </w:r>
    </w:p>
    <w:p>
      <w:pPr>
        <w:rPr>
          <w:b/>
          <w:bCs/>
          <w:sz w:val="36"/>
          <w:szCs w:val="36"/>
        </w:rPr>
        <w:sectPr>
          <w:pgSz w:w="16838" w:h="11906" w:orient="landscape"/>
          <w:pgMar w:top="1800" w:right="1440" w:bottom="1800" w:left="1440" w:header="851" w:footer="992" w:gutter="0"/>
          <w:cols w:space="425" w:num="1"/>
          <w:docGrid w:type="lines" w:linePitch="312" w:charSpace="0"/>
        </w:sectPr>
      </w:pPr>
    </w:p>
    <w:p>
      <w:pPr>
        <w:jc w:val="left"/>
        <w:rPr>
          <w:rFonts w:hint="eastAsia" w:eastAsiaTheme="majorEastAsia"/>
          <w:b/>
          <w:bCs/>
          <w:sz w:val="36"/>
          <w:szCs w:val="36"/>
          <w:lang w:eastAsia="zh-CN"/>
        </w:rPr>
      </w:pPr>
      <w:r>
        <w:rPr>
          <w:rFonts w:hint="eastAsia" w:asciiTheme="majorEastAsia" w:hAnsiTheme="majorEastAsia" w:eastAsiaTheme="majorEastAsia"/>
          <w:sz w:val="32"/>
          <w:szCs w:val="32"/>
        </w:rPr>
        <w:t>附件3-</w:t>
      </w:r>
      <w:r>
        <w:rPr>
          <w:rFonts w:hint="eastAsia" w:asciiTheme="majorEastAsia" w:hAnsiTheme="majorEastAsia" w:eastAsiaTheme="majorEastAsia"/>
          <w:sz w:val="32"/>
          <w:szCs w:val="32"/>
          <w:lang w:val="en-US" w:eastAsia="zh-CN"/>
        </w:rPr>
        <w:t>7</w:t>
      </w:r>
    </w:p>
    <w:p>
      <w:pPr>
        <w:jc w:val="center"/>
        <w:rPr>
          <w:b/>
          <w:bCs/>
          <w:sz w:val="36"/>
          <w:szCs w:val="36"/>
        </w:rPr>
      </w:pPr>
      <w:r>
        <w:rPr>
          <w:rFonts w:hint="eastAsia"/>
          <w:b/>
          <w:bCs/>
          <w:sz w:val="36"/>
          <w:szCs w:val="36"/>
        </w:rPr>
        <w:t>评价期企业履行社会责任情况表</w:t>
      </w:r>
    </w:p>
    <w:tbl>
      <w:tblPr>
        <w:tblStyle w:val="4"/>
        <w:tblpPr w:leftFromText="180" w:rightFromText="180" w:vertAnchor="page" w:horzAnchor="margin" w:tblpY="300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66"/>
        <w:gridCol w:w="783"/>
        <w:gridCol w:w="428"/>
        <w:gridCol w:w="565"/>
        <w:gridCol w:w="1591"/>
        <w:gridCol w:w="1249"/>
        <w:gridCol w:w="989"/>
        <w:gridCol w:w="84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039" w:type="dxa"/>
            <w:gridSpan w:val="10"/>
            <w:vAlign w:val="center"/>
          </w:tcPr>
          <w:p>
            <w:pPr>
              <w:jc w:val="center"/>
              <w:rPr>
                <w:sz w:val="28"/>
                <w:szCs w:val="28"/>
              </w:rPr>
            </w:pPr>
            <w:r>
              <w:rPr>
                <w:rFonts w:hint="eastAsia" w:asciiTheme="minorEastAsia" w:hAnsiTheme="minorEastAsia" w:cstheme="minorEastAsia"/>
                <w:b/>
                <w:bCs/>
                <w:sz w:val="28"/>
                <w:szCs w:val="28"/>
              </w:rPr>
              <w:t>评价期企业注册地纳税额（万元）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230" w:type="dxa"/>
            <w:gridSpan w:val="4"/>
            <w:vAlign w:val="center"/>
          </w:tcPr>
          <w:p>
            <w:pPr>
              <w:jc w:val="center"/>
              <w:rPr>
                <w:rFonts w:ascii="宋体" w:hAnsi="宋体"/>
                <w:color w:val="000000" w:themeColor="text1"/>
              </w:rPr>
            </w:pPr>
          </w:p>
        </w:tc>
        <w:tc>
          <w:tcPr>
            <w:tcW w:w="2156" w:type="dxa"/>
            <w:gridSpan w:val="2"/>
            <w:vAlign w:val="center"/>
          </w:tcPr>
          <w:p>
            <w:pPr>
              <w:jc w:val="center"/>
              <w:rPr>
                <w:szCs w:val="21"/>
              </w:rPr>
            </w:pPr>
            <w:r>
              <w:rPr>
                <w:rFonts w:hint="eastAsia"/>
                <w:szCs w:val="21"/>
              </w:rPr>
              <w:t>第一年度</w:t>
            </w:r>
          </w:p>
        </w:tc>
        <w:tc>
          <w:tcPr>
            <w:tcW w:w="2238" w:type="dxa"/>
            <w:gridSpan w:val="2"/>
            <w:vAlign w:val="center"/>
          </w:tcPr>
          <w:p>
            <w:pPr>
              <w:jc w:val="center"/>
            </w:pPr>
            <w:r>
              <w:rPr>
                <w:rFonts w:hint="eastAsia"/>
                <w:szCs w:val="21"/>
              </w:rPr>
              <w:t>第二年度</w:t>
            </w:r>
          </w:p>
        </w:tc>
        <w:tc>
          <w:tcPr>
            <w:tcW w:w="2415" w:type="dxa"/>
            <w:gridSpan w:val="2"/>
            <w:vAlign w:val="center"/>
          </w:tcPr>
          <w:p>
            <w:pPr>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230" w:type="dxa"/>
            <w:gridSpan w:val="4"/>
            <w:vAlign w:val="center"/>
          </w:tcPr>
          <w:p>
            <w:pPr>
              <w:jc w:val="center"/>
            </w:pPr>
            <w:r>
              <w:rPr>
                <w:rFonts w:hint="eastAsia" w:ascii="宋体" w:hAnsi="宋体"/>
                <w:color w:val="000000" w:themeColor="text1"/>
              </w:rPr>
              <w:t>增值税净纳税额</w:t>
            </w:r>
          </w:p>
        </w:tc>
        <w:tc>
          <w:tcPr>
            <w:tcW w:w="2156" w:type="dxa"/>
            <w:gridSpan w:val="2"/>
            <w:vAlign w:val="center"/>
          </w:tcPr>
          <w:p>
            <w:pPr>
              <w:jc w:val="center"/>
            </w:pPr>
          </w:p>
        </w:tc>
        <w:tc>
          <w:tcPr>
            <w:tcW w:w="2238" w:type="dxa"/>
            <w:gridSpan w:val="2"/>
            <w:vAlign w:val="center"/>
          </w:tcPr>
          <w:p>
            <w:pPr>
              <w:jc w:val="center"/>
            </w:pPr>
          </w:p>
        </w:tc>
        <w:tc>
          <w:tcPr>
            <w:tcW w:w="241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53" w:type="dxa"/>
            <w:vMerge w:val="restart"/>
            <w:vAlign w:val="center"/>
          </w:tcPr>
          <w:p>
            <w:pPr>
              <w:jc w:val="center"/>
            </w:pPr>
            <w:r>
              <w:rPr>
                <w:rFonts w:hint="eastAsia" w:ascii="宋体" w:hAnsi="宋体"/>
                <w:color w:val="000000" w:themeColor="text1"/>
              </w:rPr>
              <w:t>所得税纳税额</w:t>
            </w:r>
          </w:p>
        </w:tc>
        <w:tc>
          <w:tcPr>
            <w:tcW w:w="1277" w:type="dxa"/>
            <w:gridSpan w:val="3"/>
            <w:vAlign w:val="center"/>
          </w:tcPr>
          <w:p>
            <w:pPr>
              <w:jc w:val="center"/>
            </w:pPr>
            <w:r>
              <w:rPr>
                <w:rFonts w:hint="eastAsia" w:ascii="宋体" w:hAnsi="宋体"/>
                <w:color w:val="000000" w:themeColor="text1"/>
              </w:rPr>
              <w:t>企业所得税</w:t>
            </w:r>
          </w:p>
        </w:tc>
        <w:tc>
          <w:tcPr>
            <w:tcW w:w="2156" w:type="dxa"/>
            <w:gridSpan w:val="2"/>
            <w:vAlign w:val="center"/>
          </w:tcPr>
          <w:p>
            <w:pPr>
              <w:jc w:val="center"/>
            </w:pPr>
          </w:p>
        </w:tc>
        <w:tc>
          <w:tcPr>
            <w:tcW w:w="2238" w:type="dxa"/>
            <w:gridSpan w:val="2"/>
            <w:vAlign w:val="center"/>
          </w:tcPr>
          <w:p>
            <w:pPr>
              <w:jc w:val="center"/>
            </w:pPr>
          </w:p>
        </w:tc>
        <w:tc>
          <w:tcPr>
            <w:tcW w:w="241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53" w:type="dxa"/>
            <w:vMerge w:val="continue"/>
            <w:vAlign w:val="center"/>
          </w:tcPr>
          <w:p>
            <w:pPr>
              <w:jc w:val="center"/>
              <w:rPr>
                <w:rFonts w:ascii="宋体" w:hAnsi="宋体"/>
                <w:color w:val="000000" w:themeColor="text1"/>
              </w:rPr>
            </w:pPr>
          </w:p>
        </w:tc>
        <w:tc>
          <w:tcPr>
            <w:tcW w:w="1277" w:type="dxa"/>
            <w:gridSpan w:val="3"/>
            <w:vAlign w:val="center"/>
          </w:tcPr>
          <w:p>
            <w:pPr>
              <w:jc w:val="center"/>
              <w:rPr>
                <w:rFonts w:ascii="宋体" w:hAnsi="宋体"/>
                <w:color w:val="000000" w:themeColor="text1"/>
              </w:rPr>
            </w:pPr>
            <w:r>
              <w:rPr>
                <w:rFonts w:hint="eastAsia" w:ascii="宋体" w:hAnsi="宋体"/>
                <w:color w:val="000000" w:themeColor="text1"/>
              </w:rPr>
              <w:t>个人所得税</w:t>
            </w:r>
          </w:p>
        </w:tc>
        <w:tc>
          <w:tcPr>
            <w:tcW w:w="2156" w:type="dxa"/>
            <w:gridSpan w:val="2"/>
            <w:vAlign w:val="center"/>
          </w:tcPr>
          <w:p>
            <w:pPr>
              <w:jc w:val="center"/>
            </w:pPr>
          </w:p>
        </w:tc>
        <w:tc>
          <w:tcPr>
            <w:tcW w:w="2238" w:type="dxa"/>
            <w:gridSpan w:val="2"/>
            <w:vAlign w:val="center"/>
          </w:tcPr>
          <w:p>
            <w:pPr>
              <w:jc w:val="center"/>
            </w:pPr>
          </w:p>
        </w:tc>
        <w:tc>
          <w:tcPr>
            <w:tcW w:w="241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230" w:type="dxa"/>
            <w:gridSpan w:val="4"/>
            <w:vAlign w:val="center"/>
          </w:tcPr>
          <w:p>
            <w:pPr>
              <w:jc w:val="center"/>
              <w:rPr>
                <w:rFonts w:asciiTheme="minorEastAsia" w:hAnsiTheme="minorEastAsia" w:cstheme="minorEastAsia"/>
                <w:b/>
                <w:bCs/>
                <w:sz w:val="24"/>
              </w:rPr>
            </w:pPr>
            <w:r>
              <w:rPr>
                <w:rFonts w:hint="eastAsia" w:ascii="宋体" w:hAnsi="宋体"/>
                <w:color w:val="000000" w:themeColor="text1"/>
              </w:rPr>
              <w:t>其他税纳税额</w:t>
            </w:r>
          </w:p>
        </w:tc>
        <w:tc>
          <w:tcPr>
            <w:tcW w:w="2156" w:type="dxa"/>
            <w:gridSpan w:val="2"/>
            <w:vAlign w:val="center"/>
          </w:tcPr>
          <w:p>
            <w:pPr>
              <w:jc w:val="center"/>
              <w:rPr>
                <w:rFonts w:asciiTheme="minorEastAsia" w:hAnsiTheme="minorEastAsia" w:cstheme="minorEastAsia"/>
                <w:b/>
                <w:bCs/>
                <w:sz w:val="24"/>
              </w:rPr>
            </w:pPr>
          </w:p>
        </w:tc>
        <w:tc>
          <w:tcPr>
            <w:tcW w:w="2238" w:type="dxa"/>
            <w:gridSpan w:val="2"/>
            <w:vAlign w:val="center"/>
          </w:tcPr>
          <w:p>
            <w:pPr>
              <w:jc w:val="center"/>
              <w:rPr>
                <w:rFonts w:asciiTheme="minorEastAsia" w:hAnsiTheme="minorEastAsia" w:cstheme="minorEastAsia"/>
                <w:b/>
                <w:bCs/>
                <w:sz w:val="24"/>
              </w:rPr>
            </w:pPr>
          </w:p>
        </w:tc>
        <w:tc>
          <w:tcPr>
            <w:tcW w:w="2415" w:type="dxa"/>
            <w:gridSpan w:val="2"/>
            <w:vAlign w:val="center"/>
          </w:tcPr>
          <w:p>
            <w:pPr>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30" w:type="dxa"/>
            <w:gridSpan w:val="4"/>
            <w:vAlign w:val="center"/>
          </w:tcPr>
          <w:p>
            <w:pPr>
              <w:jc w:val="center"/>
              <w:rPr>
                <w:rFonts w:asciiTheme="minorEastAsia" w:hAnsiTheme="minorEastAsia" w:cstheme="minorEastAsia"/>
                <w:b/>
                <w:bCs/>
                <w:sz w:val="24"/>
              </w:rPr>
            </w:pPr>
            <w:r>
              <w:rPr>
                <w:rFonts w:hint="eastAsia" w:ascii="宋体" w:hAnsi="宋体"/>
                <w:color w:val="000000" w:themeColor="text1"/>
              </w:rPr>
              <w:t>合计纳税额</w:t>
            </w:r>
          </w:p>
        </w:tc>
        <w:tc>
          <w:tcPr>
            <w:tcW w:w="2156" w:type="dxa"/>
            <w:gridSpan w:val="2"/>
            <w:vAlign w:val="center"/>
          </w:tcPr>
          <w:p>
            <w:pPr>
              <w:jc w:val="center"/>
              <w:rPr>
                <w:rFonts w:asciiTheme="minorEastAsia" w:hAnsiTheme="minorEastAsia" w:cstheme="minorEastAsia"/>
                <w:b/>
                <w:bCs/>
                <w:sz w:val="24"/>
              </w:rPr>
            </w:pPr>
          </w:p>
        </w:tc>
        <w:tc>
          <w:tcPr>
            <w:tcW w:w="2238" w:type="dxa"/>
            <w:gridSpan w:val="2"/>
            <w:vAlign w:val="center"/>
          </w:tcPr>
          <w:p>
            <w:pPr>
              <w:jc w:val="center"/>
              <w:rPr>
                <w:rFonts w:asciiTheme="minorEastAsia" w:hAnsiTheme="minorEastAsia" w:cstheme="minorEastAsia"/>
                <w:b/>
                <w:bCs/>
                <w:sz w:val="24"/>
              </w:rPr>
            </w:pPr>
          </w:p>
        </w:tc>
        <w:tc>
          <w:tcPr>
            <w:tcW w:w="2415" w:type="dxa"/>
            <w:gridSpan w:val="2"/>
            <w:vAlign w:val="center"/>
          </w:tcPr>
          <w:p>
            <w:pPr>
              <w:jc w:val="center"/>
              <w:rPr>
                <w:rFonts w:asciiTheme="minorEastAsia" w:hAnsiTheme="minorEastAsia" w:cs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039" w:type="dxa"/>
            <w:gridSpan w:val="10"/>
            <w:vAlign w:val="center"/>
          </w:tcPr>
          <w:p>
            <w:pPr>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参与扶贫与慈善工作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02" w:type="dxa"/>
            <w:gridSpan w:val="3"/>
            <w:vAlign w:val="center"/>
          </w:tcPr>
          <w:p>
            <w:pPr>
              <w:jc w:val="center"/>
            </w:pPr>
            <w:r>
              <w:rPr>
                <w:rFonts w:hint="eastAsia"/>
              </w:rPr>
              <w:t>项目名称</w:t>
            </w:r>
          </w:p>
        </w:tc>
        <w:tc>
          <w:tcPr>
            <w:tcW w:w="993" w:type="dxa"/>
            <w:gridSpan w:val="2"/>
            <w:vAlign w:val="center"/>
          </w:tcPr>
          <w:p>
            <w:pPr>
              <w:jc w:val="center"/>
            </w:pPr>
            <w:r>
              <w:rPr>
                <w:rFonts w:hint="eastAsia"/>
              </w:rPr>
              <w:t>时  间</w:t>
            </w:r>
          </w:p>
        </w:tc>
        <w:tc>
          <w:tcPr>
            <w:tcW w:w="4678" w:type="dxa"/>
            <w:gridSpan w:val="4"/>
            <w:vAlign w:val="center"/>
          </w:tcPr>
          <w:p>
            <w:pPr>
              <w:jc w:val="center"/>
            </w:pPr>
            <w:r>
              <w:rPr>
                <w:rFonts w:hint="eastAsia"/>
              </w:rPr>
              <w:t>内  容</w:t>
            </w:r>
          </w:p>
        </w:tc>
        <w:tc>
          <w:tcPr>
            <w:tcW w:w="1566" w:type="dxa"/>
            <w:vAlign w:val="center"/>
          </w:tcPr>
          <w:p>
            <w:pPr>
              <w:jc w:val="center"/>
            </w:pPr>
            <w:r>
              <w:rPr>
                <w:rFonts w:hint="eastAsia"/>
              </w:rPr>
              <w:t>折合金额</w:t>
            </w:r>
          </w:p>
          <w:p>
            <w:pPr>
              <w:jc w:val="cente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2" w:type="dxa"/>
            <w:gridSpan w:val="3"/>
            <w:vAlign w:val="center"/>
          </w:tcPr>
          <w:p>
            <w:pPr>
              <w:jc w:val="center"/>
            </w:pPr>
          </w:p>
        </w:tc>
        <w:tc>
          <w:tcPr>
            <w:tcW w:w="993" w:type="dxa"/>
            <w:gridSpan w:val="2"/>
            <w:vAlign w:val="center"/>
          </w:tcPr>
          <w:p>
            <w:pPr>
              <w:jc w:val="center"/>
            </w:pPr>
          </w:p>
        </w:tc>
        <w:tc>
          <w:tcPr>
            <w:tcW w:w="4678" w:type="dxa"/>
            <w:gridSpan w:val="4"/>
            <w:vAlign w:val="center"/>
          </w:tcPr>
          <w:p>
            <w:pPr>
              <w:jc w:val="center"/>
            </w:pPr>
          </w:p>
        </w:tc>
        <w:tc>
          <w:tcPr>
            <w:tcW w:w="15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2" w:type="dxa"/>
            <w:gridSpan w:val="3"/>
            <w:vAlign w:val="center"/>
          </w:tcPr>
          <w:p>
            <w:pPr>
              <w:jc w:val="center"/>
            </w:pPr>
          </w:p>
        </w:tc>
        <w:tc>
          <w:tcPr>
            <w:tcW w:w="993" w:type="dxa"/>
            <w:gridSpan w:val="2"/>
            <w:vAlign w:val="center"/>
          </w:tcPr>
          <w:p>
            <w:pPr>
              <w:jc w:val="center"/>
            </w:pPr>
          </w:p>
        </w:tc>
        <w:tc>
          <w:tcPr>
            <w:tcW w:w="4678" w:type="dxa"/>
            <w:gridSpan w:val="4"/>
            <w:vAlign w:val="center"/>
          </w:tcPr>
          <w:p>
            <w:pPr>
              <w:jc w:val="center"/>
            </w:pPr>
          </w:p>
        </w:tc>
        <w:tc>
          <w:tcPr>
            <w:tcW w:w="15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02" w:type="dxa"/>
            <w:gridSpan w:val="3"/>
            <w:vAlign w:val="center"/>
          </w:tcPr>
          <w:p>
            <w:pPr>
              <w:jc w:val="center"/>
            </w:pPr>
          </w:p>
        </w:tc>
        <w:tc>
          <w:tcPr>
            <w:tcW w:w="993" w:type="dxa"/>
            <w:gridSpan w:val="2"/>
            <w:vAlign w:val="center"/>
          </w:tcPr>
          <w:p>
            <w:pPr>
              <w:jc w:val="center"/>
            </w:pPr>
          </w:p>
        </w:tc>
        <w:tc>
          <w:tcPr>
            <w:tcW w:w="4678" w:type="dxa"/>
            <w:gridSpan w:val="4"/>
            <w:vAlign w:val="center"/>
          </w:tcPr>
          <w:p>
            <w:pPr>
              <w:jc w:val="center"/>
            </w:pPr>
          </w:p>
        </w:tc>
        <w:tc>
          <w:tcPr>
            <w:tcW w:w="15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473" w:type="dxa"/>
            <w:gridSpan w:val="9"/>
            <w:vAlign w:val="center"/>
          </w:tcPr>
          <w:p>
            <w:pPr>
              <w:jc w:val="center"/>
            </w:pPr>
            <w:r>
              <w:rPr>
                <w:rFonts w:hint="eastAsia"/>
              </w:rPr>
              <w:t>合计金额（万元）：</w:t>
            </w:r>
          </w:p>
        </w:tc>
        <w:tc>
          <w:tcPr>
            <w:tcW w:w="15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039" w:type="dxa"/>
            <w:gridSpan w:val="10"/>
            <w:vAlign w:val="center"/>
          </w:tcPr>
          <w:p>
            <w:pPr>
              <w:jc w:val="center"/>
              <w:rPr>
                <w:sz w:val="28"/>
                <w:szCs w:val="28"/>
              </w:rPr>
            </w:pPr>
            <w:r>
              <w:rPr>
                <w:rFonts w:hint="eastAsia" w:asciiTheme="minorEastAsia" w:hAnsiTheme="minorEastAsia" w:cstheme="minorEastAsia"/>
                <w:b/>
                <w:bCs/>
                <w:sz w:val="28"/>
                <w:szCs w:val="28"/>
              </w:rPr>
              <w:t>面向全行业的公益活动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386" w:type="dxa"/>
            <w:gridSpan w:val="6"/>
            <w:vAlign w:val="center"/>
          </w:tcPr>
          <w:p>
            <w:pPr>
              <w:jc w:val="center"/>
            </w:pPr>
            <w:r>
              <w:rPr>
                <w:rFonts w:hint="eastAsia"/>
              </w:rPr>
              <w:t>活动名称</w:t>
            </w:r>
          </w:p>
        </w:tc>
        <w:tc>
          <w:tcPr>
            <w:tcW w:w="1249" w:type="dxa"/>
            <w:vAlign w:val="center"/>
          </w:tcPr>
          <w:p>
            <w:pPr>
              <w:jc w:val="center"/>
            </w:pPr>
            <w:r>
              <w:rPr>
                <w:rFonts w:hint="eastAsia"/>
              </w:rPr>
              <w:t>举办时间</w:t>
            </w:r>
          </w:p>
        </w:tc>
        <w:tc>
          <w:tcPr>
            <w:tcW w:w="3404" w:type="dxa"/>
            <w:gridSpan w:val="3"/>
            <w:vAlign w:val="center"/>
          </w:tcPr>
          <w:p>
            <w:pPr>
              <w:jc w:val="center"/>
            </w:pP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gridSpan w:val="2"/>
            <w:vMerge w:val="restart"/>
            <w:vAlign w:val="center"/>
          </w:tcPr>
          <w:p>
            <w:pPr>
              <w:jc w:val="center"/>
            </w:pPr>
            <w:r>
              <w:rPr>
                <w:rFonts w:hint="eastAsia"/>
              </w:rPr>
              <w:t>主办</w:t>
            </w:r>
          </w:p>
        </w:tc>
        <w:tc>
          <w:tcPr>
            <w:tcW w:w="3367" w:type="dxa"/>
            <w:gridSpan w:val="4"/>
            <w:vAlign w:val="center"/>
          </w:tcPr>
          <w:p>
            <w:pPr>
              <w:jc w:val="center"/>
            </w:pPr>
          </w:p>
        </w:tc>
        <w:tc>
          <w:tcPr>
            <w:tcW w:w="1249" w:type="dxa"/>
            <w:vAlign w:val="center"/>
          </w:tcPr>
          <w:p>
            <w:pPr>
              <w:jc w:val="left"/>
            </w:pPr>
          </w:p>
        </w:tc>
        <w:tc>
          <w:tcPr>
            <w:tcW w:w="3404"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gridSpan w:val="2"/>
            <w:vMerge w:val="continue"/>
            <w:vAlign w:val="center"/>
          </w:tcPr>
          <w:p>
            <w:pPr>
              <w:jc w:val="center"/>
            </w:pPr>
          </w:p>
        </w:tc>
        <w:tc>
          <w:tcPr>
            <w:tcW w:w="3367" w:type="dxa"/>
            <w:gridSpan w:val="4"/>
            <w:vAlign w:val="center"/>
          </w:tcPr>
          <w:p>
            <w:pPr>
              <w:jc w:val="center"/>
            </w:pPr>
          </w:p>
        </w:tc>
        <w:tc>
          <w:tcPr>
            <w:tcW w:w="1249" w:type="dxa"/>
            <w:vAlign w:val="center"/>
          </w:tcPr>
          <w:p>
            <w:pPr>
              <w:jc w:val="left"/>
            </w:pPr>
          </w:p>
        </w:tc>
        <w:tc>
          <w:tcPr>
            <w:tcW w:w="3404"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gridSpan w:val="2"/>
            <w:vMerge w:val="restart"/>
            <w:vAlign w:val="center"/>
          </w:tcPr>
          <w:p>
            <w:pPr>
              <w:jc w:val="center"/>
            </w:pPr>
            <w:r>
              <w:rPr>
                <w:rFonts w:hint="eastAsia"/>
              </w:rPr>
              <w:t>承办</w:t>
            </w:r>
          </w:p>
        </w:tc>
        <w:tc>
          <w:tcPr>
            <w:tcW w:w="3367" w:type="dxa"/>
            <w:gridSpan w:val="4"/>
            <w:vAlign w:val="center"/>
          </w:tcPr>
          <w:p>
            <w:pPr>
              <w:jc w:val="center"/>
            </w:pPr>
          </w:p>
        </w:tc>
        <w:tc>
          <w:tcPr>
            <w:tcW w:w="1249" w:type="dxa"/>
            <w:vAlign w:val="center"/>
          </w:tcPr>
          <w:p>
            <w:pPr>
              <w:jc w:val="left"/>
            </w:pPr>
          </w:p>
        </w:tc>
        <w:tc>
          <w:tcPr>
            <w:tcW w:w="3404"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19" w:type="dxa"/>
            <w:gridSpan w:val="2"/>
            <w:vMerge w:val="continue"/>
            <w:vAlign w:val="center"/>
          </w:tcPr>
          <w:p>
            <w:pPr>
              <w:jc w:val="center"/>
            </w:pPr>
          </w:p>
        </w:tc>
        <w:tc>
          <w:tcPr>
            <w:tcW w:w="3367" w:type="dxa"/>
            <w:gridSpan w:val="4"/>
            <w:vAlign w:val="center"/>
          </w:tcPr>
          <w:p>
            <w:pPr>
              <w:jc w:val="center"/>
            </w:pPr>
          </w:p>
        </w:tc>
        <w:tc>
          <w:tcPr>
            <w:tcW w:w="1249" w:type="dxa"/>
            <w:vAlign w:val="center"/>
          </w:tcPr>
          <w:p>
            <w:pPr>
              <w:jc w:val="left"/>
            </w:pPr>
          </w:p>
        </w:tc>
        <w:tc>
          <w:tcPr>
            <w:tcW w:w="3404" w:type="dxa"/>
            <w:gridSpan w:val="3"/>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trPr>
        <w:tc>
          <w:tcPr>
            <w:tcW w:w="9039" w:type="dxa"/>
            <w:gridSpan w:val="10"/>
            <w:vAlign w:val="center"/>
          </w:tcPr>
          <w:p>
            <w:pPr>
              <w:jc w:val="center"/>
              <w:rPr>
                <w:rFonts w:hint="eastAsia" w:eastAsiaTheme="minorEastAsia"/>
                <w:lang w:eastAsia="zh-CN"/>
              </w:rPr>
            </w:pPr>
            <w:r>
              <w:rPr>
                <w:rFonts w:hint="eastAsia" w:asciiTheme="minorEastAsia" w:hAnsiTheme="minorEastAsia" w:cstheme="minorEastAsia"/>
                <w:b/>
                <w:bCs/>
                <w:sz w:val="28"/>
                <w:szCs w:val="28"/>
                <w:lang w:eastAsia="zh-CN"/>
              </w:rPr>
              <w:t>企业</w:t>
            </w:r>
            <w:r>
              <w:rPr>
                <w:rFonts w:hint="eastAsia" w:asciiTheme="minorEastAsia" w:hAnsiTheme="minorEastAsia" w:cstheme="minorEastAsia"/>
                <w:b/>
                <w:bCs/>
                <w:sz w:val="28"/>
                <w:szCs w:val="28"/>
              </w:rPr>
              <w:t>接纳工程造价专业学生实习</w:t>
            </w:r>
            <w:r>
              <w:rPr>
                <w:rFonts w:hint="eastAsia" w:asciiTheme="minorEastAsia" w:hAnsiTheme="minorEastAsia" w:cstheme="minorEastAsia"/>
                <w:b/>
                <w:bCs/>
                <w:sz w:val="28"/>
                <w:szCs w:val="28"/>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4386" w:type="dxa"/>
            <w:gridSpan w:val="6"/>
            <w:vAlign w:val="center"/>
          </w:tcPr>
          <w:p>
            <w:pPr>
              <w:jc w:val="center"/>
            </w:pPr>
            <w:r>
              <w:rPr>
                <w:rFonts w:hint="eastAsia"/>
                <w:szCs w:val="21"/>
              </w:rPr>
              <w:t>是否接纳工程造价专业学生实习</w:t>
            </w:r>
          </w:p>
        </w:tc>
        <w:tc>
          <w:tcPr>
            <w:tcW w:w="4653" w:type="dxa"/>
            <w:gridSpan w:val="4"/>
            <w:vAlign w:val="center"/>
          </w:tcPr>
          <w:p>
            <w:pPr>
              <w:jc w:val="left"/>
            </w:pPr>
          </w:p>
        </w:tc>
      </w:tr>
    </w:tbl>
    <w:p>
      <w:pPr>
        <w:jc w:val="center"/>
      </w:pPr>
    </w:p>
    <w:p>
      <w:pPr>
        <w:rPr>
          <w:rFonts w:ascii="仿宋" w:hAnsi="仿宋" w:eastAsia="仿宋" w:cs="仿宋"/>
          <w:b/>
          <w:sz w:val="24"/>
        </w:rPr>
      </w:pPr>
    </w:p>
    <w:p>
      <w:pPr>
        <w:ind w:left="-630" w:leftChars="-300" w:firstLine="1265" w:firstLineChars="600"/>
        <w:jc w:val="center"/>
        <w:rPr>
          <w:rFonts w:hint="eastAsia" w:ascii="隶书" w:eastAsia="隶书"/>
          <w:sz w:val="32"/>
          <w:szCs w:val="32"/>
        </w:rPr>
      </w:pPr>
      <w:r>
        <w:rPr>
          <w:rFonts w:hint="eastAsia" w:ascii="仿宋" w:hAnsi="仿宋" w:eastAsia="仿宋" w:cs="仿宋"/>
          <w:b/>
          <w:szCs w:val="21"/>
        </w:rPr>
        <w:t>说明：</w:t>
      </w:r>
      <w:r>
        <w:rPr>
          <w:rFonts w:hint="eastAsia" w:ascii="仿宋" w:hAnsi="仿宋" w:eastAsia="仿宋" w:cs="仿宋"/>
          <w:b/>
          <w:szCs w:val="21"/>
          <w:lang w:eastAsia="zh-CN"/>
        </w:rPr>
        <w:t>纳税情况</w:t>
      </w:r>
      <w:r>
        <w:rPr>
          <w:rFonts w:hint="eastAsia" w:ascii="仿宋" w:hAnsi="仿宋" w:eastAsia="仿宋" w:cs="仿宋"/>
          <w:b/>
          <w:szCs w:val="21"/>
        </w:rPr>
        <w:t>应提供报税、纳税凭证。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3210"/>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9336C8"/>
    <w:multiLevelType w:val="singleLevel"/>
    <w:tmpl w:val="B39336C8"/>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0612"/>
    <w:rsid w:val="005D0FD2"/>
    <w:rsid w:val="009F0612"/>
    <w:rsid w:val="09885DE0"/>
    <w:rsid w:val="0F13173C"/>
    <w:rsid w:val="194C4F5D"/>
    <w:rsid w:val="221D2AE2"/>
    <w:rsid w:val="22633FB4"/>
    <w:rsid w:val="23EC3743"/>
    <w:rsid w:val="28E02ED0"/>
    <w:rsid w:val="372E1D93"/>
    <w:rsid w:val="37761C2F"/>
    <w:rsid w:val="3B042F7C"/>
    <w:rsid w:val="3CAC4157"/>
    <w:rsid w:val="3CBE67F0"/>
    <w:rsid w:val="483F0CD2"/>
    <w:rsid w:val="5A1F1150"/>
    <w:rsid w:val="5A9251CE"/>
    <w:rsid w:val="6DF967E2"/>
    <w:rsid w:val="79F8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textRotate="1"/>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17</Characters>
  <Lines>1</Lines>
  <Paragraphs>1</Paragraphs>
  <TotalTime>7</TotalTime>
  <ScaleCrop>false</ScaleCrop>
  <LinksUpToDate>false</LinksUpToDate>
  <CharactersWithSpaces>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2020-07-14T03:00:00Z</dcterms:created>
  <dc:creator>1</dc:creator>
  <cp:lastModifiedBy>跳伞运动员</cp:lastModifiedBy>
  <dcterms:modified xsi:type="dcterms:W3CDTF">2021-02-04T03:50:39Z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